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3D" w:rsidRDefault="005C193D" w:rsidP="003429F6">
      <w:pPr>
        <w:pStyle w:val="Default"/>
        <w:spacing w:line="360" w:lineRule="auto"/>
        <w:jc w:val="center"/>
        <w:rPr>
          <w:bCs/>
          <w:sz w:val="44"/>
          <w:szCs w:val="44"/>
        </w:rPr>
      </w:pPr>
    </w:p>
    <w:p w:rsidR="00EF07AC" w:rsidRDefault="00EF07AC" w:rsidP="00CB7F48">
      <w:pPr>
        <w:pStyle w:val="Default"/>
        <w:spacing w:line="276" w:lineRule="auto"/>
        <w:jc w:val="center"/>
        <w:rPr>
          <w:bCs/>
          <w:sz w:val="44"/>
          <w:szCs w:val="44"/>
        </w:rPr>
      </w:pPr>
      <w:proofErr w:type="gramStart"/>
      <w:r>
        <w:rPr>
          <w:bCs/>
          <w:sz w:val="44"/>
          <w:szCs w:val="44"/>
        </w:rPr>
        <w:t>Hunting for Bear?</w:t>
      </w:r>
      <w:proofErr w:type="gramEnd"/>
    </w:p>
    <w:p w:rsidR="00EF07AC" w:rsidRPr="00EF07AC" w:rsidRDefault="00EF07AC" w:rsidP="00CB7F48">
      <w:pPr>
        <w:pStyle w:val="Default"/>
        <w:spacing w:line="276" w:lineRule="auto"/>
        <w:jc w:val="center"/>
        <w:rPr>
          <w:bCs/>
          <w:sz w:val="44"/>
          <w:szCs w:val="44"/>
        </w:rPr>
      </w:pPr>
      <w:r>
        <w:rPr>
          <w:bCs/>
          <w:sz w:val="44"/>
          <w:szCs w:val="44"/>
        </w:rPr>
        <w:t>Or Caught in a Trap?</w:t>
      </w:r>
    </w:p>
    <w:p w:rsidR="00EF07AC" w:rsidRDefault="00EF07AC" w:rsidP="003429F6">
      <w:pPr>
        <w:pStyle w:val="Default"/>
        <w:spacing w:line="360" w:lineRule="auto"/>
        <w:jc w:val="both"/>
        <w:rPr>
          <w:bCs/>
        </w:rPr>
      </w:pPr>
    </w:p>
    <w:p w:rsidR="006100D5" w:rsidRPr="006100D5" w:rsidRDefault="003A21FA" w:rsidP="003A21FA">
      <w:pPr>
        <w:pStyle w:val="Default"/>
        <w:spacing w:line="360" w:lineRule="auto"/>
        <w:ind w:firstLine="720"/>
        <w:jc w:val="both"/>
        <w:rPr>
          <w:bCs/>
        </w:rPr>
      </w:pPr>
      <w:r>
        <w:rPr>
          <w:bCs/>
        </w:rPr>
        <w:t>`</w:t>
      </w:r>
      <w:r w:rsidR="006100D5">
        <w:rPr>
          <w:bCs/>
        </w:rPr>
        <w:t>In Workers’ Compens</w:t>
      </w:r>
      <w:r w:rsidR="00B11DB6">
        <w:rPr>
          <w:bCs/>
        </w:rPr>
        <w:t>ation matters it is the carrier’s responsibility to consider Medicare’s interests at settlement. In other Liability matters, this burden falls to the plaintiff. This is a trap for the unwary.</w:t>
      </w:r>
    </w:p>
    <w:p w:rsidR="006100D5" w:rsidRDefault="006100D5" w:rsidP="003429F6">
      <w:pPr>
        <w:pStyle w:val="Default"/>
        <w:spacing w:line="360" w:lineRule="auto"/>
        <w:jc w:val="both"/>
        <w:rPr>
          <w:b/>
          <w:bCs/>
        </w:rPr>
      </w:pPr>
    </w:p>
    <w:p w:rsidR="006C4960" w:rsidRDefault="006C4960" w:rsidP="003429F6">
      <w:pPr>
        <w:pStyle w:val="Default"/>
        <w:spacing w:line="360" w:lineRule="auto"/>
        <w:jc w:val="both"/>
        <w:rPr>
          <w:b/>
          <w:bCs/>
        </w:rPr>
      </w:pPr>
      <w:r>
        <w:rPr>
          <w:b/>
          <w:bCs/>
        </w:rPr>
        <w:t xml:space="preserve">Under </w:t>
      </w:r>
      <w:r>
        <w:t xml:space="preserve">42 U.S.C. § </w:t>
      </w:r>
      <w:proofErr w:type="spellStart"/>
      <w:proofErr w:type="gramStart"/>
      <w:r>
        <w:t>1395y</w:t>
      </w:r>
      <w:proofErr w:type="spellEnd"/>
      <w:r>
        <w:t>(</w:t>
      </w:r>
      <w:proofErr w:type="gramEnd"/>
      <w:r>
        <w:t>b)(2)(A)(</w:t>
      </w:r>
      <w:proofErr w:type="spellStart"/>
      <w:r w:rsidR="000D6F36">
        <w:t>i</w:t>
      </w:r>
      <w:proofErr w:type="spellEnd"/>
      <w:r w:rsidR="000D6F36">
        <w:t>-</w:t>
      </w:r>
      <w:r>
        <w:t>ii):</w:t>
      </w:r>
    </w:p>
    <w:p w:rsidR="006C4960" w:rsidRPr="006C4960" w:rsidRDefault="006C4960" w:rsidP="003429F6">
      <w:pPr>
        <w:spacing w:line="360" w:lineRule="auto"/>
        <w:jc w:val="both"/>
        <w:outlineLvl w:val="3"/>
        <w:rPr>
          <w:b/>
          <w:bCs/>
        </w:rPr>
      </w:pPr>
      <w:r w:rsidRPr="006C4960">
        <w:rPr>
          <w:b/>
          <w:bCs/>
        </w:rPr>
        <w:t>In general</w:t>
      </w:r>
    </w:p>
    <w:p w:rsidR="006C4960" w:rsidRPr="006C4960" w:rsidRDefault="006C4960" w:rsidP="003429F6">
      <w:pPr>
        <w:spacing w:line="360" w:lineRule="auto"/>
        <w:jc w:val="both"/>
      </w:pPr>
      <w:r w:rsidRPr="006C4960">
        <w:rPr>
          <w:b/>
          <w:i/>
          <w:highlight w:val="yellow"/>
        </w:rPr>
        <w:t>Payment under this subchapter may not be made, except as provided in subparagraph (B), with respect to any item or service to the extent that</w:t>
      </w:r>
      <w:r w:rsidRPr="006C4960">
        <w:t>-</w:t>
      </w:r>
    </w:p>
    <w:p w:rsidR="006C4960" w:rsidRPr="006C4960" w:rsidRDefault="006C4960" w:rsidP="003429F6">
      <w:pPr>
        <w:spacing w:line="360" w:lineRule="auto"/>
        <w:jc w:val="both"/>
      </w:pPr>
      <w:bookmarkStart w:id="0" w:name="substructure-location_b_2_A_i"/>
      <w:bookmarkEnd w:id="0"/>
      <w:r w:rsidRPr="006C4960">
        <w:t>(</w:t>
      </w:r>
      <w:proofErr w:type="spellStart"/>
      <w:r w:rsidRPr="006C4960">
        <w:t>i</w:t>
      </w:r>
      <w:proofErr w:type="spellEnd"/>
      <w:r w:rsidRPr="006C4960">
        <w:t>) payment has been made, or can reasonably be expected to be made, with respect to the item or service as required under paragraph (1), or</w:t>
      </w:r>
    </w:p>
    <w:p w:rsidR="006C4960" w:rsidRPr="006C4960" w:rsidRDefault="006C4960" w:rsidP="003429F6">
      <w:pPr>
        <w:spacing w:line="360" w:lineRule="auto"/>
        <w:jc w:val="both"/>
      </w:pPr>
      <w:bookmarkStart w:id="1" w:name="substructure-location_b_2_A_ii"/>
      <w:bookmarkEnd w:id="1"/>
      <w:r w:rsidRPr="006C4960">
        <w:t xml:space="preserve">(ii) </w:t>
      </w:r>
      <w:proofErr w:type="gramStart"/>
      <w:r w:rsidRPr="006C4960">
        <w:rPr>
          <w:b/>
          <w:i/>
          <w:highlight w:val="yellow"/>
          <w:u w:val="single"/>
        </w:rPr>
        <w:t>payment</w:t>
      </w:r>
      <w:proofErr w:type="gramEnd"/>
      <w:r w:rsidRPr="006C4960">
        <w:rPr>
          <w:b/>
          <w:i/>
          <w:highlight w:val="yellow"/>
          <w:u w:val="single"/>
        </w:rPr>
        <w:t xml:space="preserve"> has been made or can reasonably be expected to be made</w:t>
      </w:r>
      <w:r w:rsidRPr="006C4960">
        <w:t xml:space="preserve"> under a workmen's compensation law or plan of the United States or a State or </w:t>
      </w:r>
      <w:r w:rsidRPr="006C4960">
        <w:rPr>
          <w:b/>
          <w:i/>
          <w:highlight w:val="yellow"/>
          <w:u w:val="single"/>
        </w:rPr>
        <w:t>under an automobile or liability insurance policy or plan (including a self-insured plan) or under no fault insurance</w:t>
      </w:r>
      <w:r w:rsidRPr="006C4960">
        <w:t>.</w:t>
      </w:r>
    </w:p>
    <w:p w:rsidR="00EE492A" w:rsidRDefault="00EE492A" w:rsidP="003429F6">
      <w:pPr>
        <w:spacing w:line="360" w:lineRule="auto"/>
        <w:ind w:firstLine="720"/>
        <w:jc w:val="both"/>
        <w:rPr>
          <w:sz w:val="22"/>
          <w:szCs w:val="22"/>
        </w:rPr>
      </w:pPr>
    </w:p>
    <w:p w:rsidR="00993127" w:rsidRDefault="002F36C3" w:rsidP="003429F6">
      <w:pPr>
        <w:spacing w:line="360" w:lineRule="auto"/>
        <w:ind w:firstLine="720"/>
        <w:jc w:val="both"/>
        <w:rPr>
          <w:sz w:val="22"/>
          <w:szCs w:val="22"/>
        </w:rPr>
      </w:pPr>
      <w:r>
        <w:rPr>
          <w:sz w:val="22"/>
          <w:szCs w:val="22"/>
        </w:rPr>
        <w:t xml:space="preserve">The discussion of “future medicals” has often been in terms of asking whether the federal government requires Medicare Set-Asides (“MSAs”). This misstates the </w:t>
      </w:r>
      <w:r w:rsidR="00BB3630">
        <w:rPr>
          <w:sz w:val="22"/>
          <w:szCs w:val="22"/>
        </w:rPr>
        <w:t>question,</w:t>
      </w:r>
      <w:r>
        <w:rPr>
          <w:sz w:val="22"/>
          <w:szCs w:val="22"/>
        </w:rPr>
        <w:t xml:space="preserve"> as future medical obligation</w:t>
      </w:r>
      <w:r w:rsidR="00922563">
        <w:rPr>
          <w:sz w:val="22"/>
          <w:szCs w:val="22"/>
        </w:rPr>
        <w:t xml:space="preserve">s as described in the </w:t>
      </w:r>
      <w:r w:rsidR="00726032">
        <w:rPr>
          <w:sz w:val="22"/>
          <w:szCs w:val="22"/>
        </w:rPr>
        <w:t>Medicare Secondary Payer (</w:t>
      </w:r>
      <w:r>
        <w:rPr>
          <w:sz w:val="22"/>
          <w:szCs w:val="22"/>
        </w:rPr>
        <w:t>MSP</w:t>
      </w:r>
      <w:r w:rsidR="00726032">
        <w:rPr>
          <w:sz w:val="22"/>
          <w:szCs w:val="22"/>
        </w:rPr>
        <w:t>)</w:t>
      </w:r>
      <w:r>
        <w:rPr>
          <w:sz w:val="22"/>
          <w:szCs w:val="22"/>
        </w:rPr>
        <w:t xml:space="preserve"> Act </w:t>
      </w:r>
      <w:r w:rsidR="00922563">
        <w:rPr>
          <w:sz w:val="22"/>
          <w:szCs w:val="22"/>
        </w:rPr>
        <w:t xml:space="preserve">are really </w:t>
      </w:r>
      <w:r>
        <w:rPr>
          <w:sz w:val="22"/>
          <w:szCs w:val="22"/>
        </w:rPr>
        <w:t xml:space="preserve">more </w:t>
      </w:r>
      <w:r w:rsidR="00922563">
        <w:rPr>
          <w:sz w:val="22"/>
          <w:szCs w:val="22"/>
        </w:rPr>
        <w:t xml:space="preserve">of </w:t>
      </w:r>
      <w:r>
        <w:rPr>
          <w:sz w:val="22"/>
          <w:szCs w:val="22"/>
        </w:rPr>
        <w:t xml:space="preserve">an accounting obligation. </w:t>
      </w:r>
      <w:r w:rsidR="0005367D">
        <w:rPr>
          <w:sz w:val="22"/>
          <w:szCs w:val="22"/>
        </w:rPr>
        <w:t>T</w:t>
      </w:r>
      <w:r>
        <w:rPr>
          <w:sz w:val="22"/>
          <w:szCs w:val="22"/>
        </w:rPr>
        <w:t>he</w:t>
      </w:r>
      <w:r w:rsidR="00EC7DF7">
        <w:rPr>
          <w:sz w:val="22"/>
          <w:szCs w:val="22"/>
        </w:rPr>
        <w:t xml:space="preserve">re is no portion of </w:t>
      </w:r>
      <w:r w:rsidR="00D7444E">
        <w:rPr>
          <w:sz w:val="22"/>
          <w:szCs w:val="22"/>
        </w:rPr>
        <w:t xml:space="preserve">the </w:t>
      </w:r>
      <w:r>
        <w:rPr>
          <w:sz w:val="22"/>
          <w:szCs w:val="22"/>
        </w:rPr>
        <w:t xml:space="preserve">MSP Act itself nor any regulation supporting the MSP Act </w:t>
      </w:r>
      <w:r w:rsidR="00EC7DF7">
        <w:rPr>
          <w:sz w:val="22"/>
          <w:szCs w:val="22"/>
        </w:rPr>
        <w:t xml:space="preserve">that </w:t>
      </w:r>
      <w:r>
        <w:rPr>
          <w:sz w:val="22"/>
          <w:szCs w:val="22"/>
        </w:rPr>
        <w:t>eve</w:t>
      </w:r>
      <w:r w:rsidR="0005367D">
        <w:rPr>
          <w:sz w:val="22"/>
          <w:szCs w:val="22"/>
        </w:rPr>
        <w:t>r</w:t>
      </w:r>
      <w:r>
        <w:rPr>
          <w:sz w:val="22"/>
          <w:szCs w:val="22"/>
        </w:rPr>
        <w:t xml:space="preserve"> mentions the term “Medicare Set-Aside” or “MSA”, let alone requiring parties to establish an MSA as part of any settlement</w:t>
      </w:r>
      <w:r w:rsidR="0005367D">
        <w:rPr>
          <w:sz w:val="22"/>
          <w:szCs w:val="22"/>
        </w:rPr>
        <w:t xml:space="preserve">. This is true in liability claims going forward just as it has been for years in Workers’ Compensation claims in the past. </w:t>
      </w:r>
    </w:p>
    <w:p w:rsidR="00D208BC" w:rsidRDefault="00D208BC" w:rsidP="003429F6">
      <w:pPr>
        <w:spacing w:line="360" w:lineRule="auto"/>
        <w:ind w:firstLine="720"/>
        <w:jc w:val="both"/>
        <w:rPr>
          <w:sz w:val="22"/>
          <w:szCs w:val="22"/>
        </w:rPr>
        <w:sectPr w:rsidR="00D208BC" w:rsidSect="00B4735D">
          <w:headerReference w:type="default" r:id="rId8"/>
          <w:pgSz w:w="12240" w:h="15840" w:code="1"/>
          <w:pgMar w:top="1800" w:right="1800" w:bottom="1800" w:left="1800" w:header="144" w:footer="720" w:gutter="0"/>
          <w:cols w:space="720"/>
          <w:docGrid w:linePitch="360"/>
        </w:sectPr>
      </w:pPr>
    </w:p>
    <w:p w:rsidR="00C734FF" w:rsidRDefault="00993127" w:rsidP="003429F6">
      <w:pPr>
        <w:spacing w:line="360" w:lineRule="auto"/>
        <w:ind w:firstLine="720"/>
        <w:jc w:val="both"/>
        <w:rPr>
          <w:sz w:val="22"/>
          <w:szCs w:val="22"/>
        </w:rPr>
      </w:pPr>
      <w:r>
        <w:rPr>
          <w:sz w:val="22"/>
          <w:szCs w:val="22"/>
        </w:rPr>
        <w:lastRenderedPageBreak/>
        <w:t xml:space="preserve">The obligation is </w:t>
      </w:r>
      <w:proofErr w:type="gramStart"/>
      <w:r>
        <w:rPr>
          <w:sz w:val="22"/>
          <w:szCs w:val="22"/>
        </w:rPr>
        <w:t>to “reasonably” consider</w:t>
      </w:r>
      <w:proofErr w:type="gramEnd"/>
      <w:r>
        <w:rPr>
          <w:sz w:val="22"/>
          <w:szCs w:val="22"/>
        </w:rPr>
        <w:t xml:space="preserve"> Medicare’s interests when settling a liability claim. </w:t>
      </w:r>
      <w:r w:rsidR="00556ECF">
        <w:rPr>
          <w:sz w:val="22"/>
          <w:szCs w:val="22"/>
        </w:rPr>
        <w:t>A</w:t>
      </w:r>
      <w:r w:rsidR="002F36C3">
        <w:rPr>
          <w:sz w:val="22"/>
          <w:szCs w:val="22"/>
        </w:rPr>
        <w:t>ssumed MSA “requirements” over the years</w:t>
      </w:r>
      <w:r w:rsidR="00556ECF">
        <w:rPr>
          <w:sz w:val="22"/>
          <w:szCs w:val="22"/>
        </w:rPr>
        <w:t xml:space="preserve"> have misled the range of professionals and providers </w:t>
      </w:r>
      <w:r w:rsidR="00596F11">
        <w:rPr>
          <w:sz w:val="22"/>
          <w:szCs w:val="22"/>
        </w:rPr>
        <w:t>discussing and reaching settlements. W</w:t>
      </w:r>
      <w:r w:rsidR="002F36C3">
        <w:rPr>
          <w:sz w:val="22"/>
          <w:szCs w:val="22"/>
        </w:rPr>
        <w:t xml:space="preserve">hether those assumptions were </w:t>
      </w:r>
      <w:proofErr w:type="gramStart"/>
      <w:r w:rsidR="002F36C3">
        <w:rPr>
          <w:sz w:val="22"/>
          <w:szCs w:val="22"/>
        </w:rPr>
        <w:t>well-intended</w:t>
      </w:r>
      <w:proofErr w:type="gramEnd"/>
      <w:r w:rsidR="002F36C3">
        <w:rPr>
          <w:sz w:val="22"/>
          <w:szCs w:val="22"/>
        </w:rPr>
        <w:t xml:space="preserve"> or merely driven by third party economic motives</w:t>
      </w:r>
      <w:r w:rsidR="00596F11">
        <w:rPr>
          <w:sz w:val="22"/>
          <w:szCs w:val="22"/>
        </w:rPr>
        <w:t xml:space="preserve"> is not relevant but those assumptions must be cast off to address these issues</w:t>
      </w:r>
      <w:r w:rsidR="00BB7E2C">
        <w:rPr>
          <w:sz w:val="22"/>
          <w:szCs w:val="22"/>
        </w:rPr>
        <w:t xml:space="preserve"> appropriately in the future.</w:t>
      </w:r>
    </w:p>
    <w:p w:rsidR="00BB7E2C" w:rsidRDefault="00BB7E2C" w:rsidP="003429F6">
      <w:pPr>
        <w:spacing w:line="360" w:lineRule="auto"/>
        <w:ind w:firstLine="720"/>
        <w:jc w:val="both"/>
        <w:rPr>
          <w:sz w:val="22"/>
          <w:szCs w:val="22"/>
        </w:rPr>
      </w:pPr>
    </w:p>
    <w:p w:rsidR="00A912CC" w:rsidRDefault="00BB7E2C" w:rsidP="003429F6">
      <w:pPr>
        <w:spacing w:line="360" w:lineRule="auto"/>
        <w:ind w:firstLine="720"/>
        <w:jc w:val="both"/>
        <w:rPr>
          <w:sz w:val="22"/>
          <w:szCs w:val="22"/>
        </w:rPr>
      </w:pPr>
      <w:proofErr w:type="gramStart"/>
      <w:r>
        <w:rPr>
          <w:sz w:val="22"/>
          <w:szCs w:val="22"/>
        </w:rPr>
        <w:t>It’s</w:t>
      </w:r>
      <w:proofErr w:type="gramEnd"/>
      <w:r>
        <w:rPr>
          <w:sz w:val="22"/>
          <w:szCs w:val="22"/>
        </w:rPr>
        <w:t xml:space="preserve"> time to </w:t>
      </w:r>
      <w:r w:rsidR="00CF7C3F">
        <w:rPr>
          <w:sz w:val="22"/>
          <w:szCs w:val="22"/>
        </w:rPr>
        <w:t xml:space="preserve">study, once again, </w:t>
      </w:r>
      <w:r>
        <w:rPr>
          <w:sz w:val="22"/>
          <w:szCs w:val="22"/>
        </w:rPr>
        <w:t xml:space="preserve">what the MSP Act actually says. There are </w:t>
      </w:r>
      <w:r w:rsidR="00CF7C3F">
        <w:rPr>
          <w:sz w:val="22"/>
          <w:szCs w:val="22"/>
        </w:rPr>
        <w:t xml:space="preserve">penalties that </w:t>
      </w:r>
      <w:proofErr w:type="gramStart"/>
      <w:r w:rsidR="00CF7C3F">
        <w:rPr>
          <w:sz w:val="22"/>
          <w:szCs w:val="22"/>
        </w:rPr>
        <w:t>may be imposed</w:t>
      </w:r>
      <w:proofErr w:type="gramEnd"/>
      <w:r w:rsidR="00CF7C3F">
        <w:rPr>
          <w:sz w:val="22"/>
          <w:szCs w:val="22"/>
        </w:rPr>
        <w:t xml:space="preserve"> for </w:t>
      </w:r>
      <w:r>
        <w:rPr>
          <w:sz w:val="22"/>
          <w:szCs w:val="22"/>
        </w:rPr>
        <w:t>billing Medicare for the same medical items, services and expenses that were prepaid as part of the settlement award</w:t>
      </w:r>
      <w:r w:rsidR="00571F22">
        <w:rPr>
          <w:sz w:val="22"/>
          <w:szCs w:val="22"/>
        </w:rPr>
        <w:t>. This is even true, given the statutory language</w:t>
      </w:r>
      <w:r>
        <w:rPr>
          <w:sz w:val="22"/>
          <w:szCs w:val="22"/>
        </w:rPr>
        <w:t>, when the claimant is not Medicare enrolle</w:t>
      </w:r>
      <w:r w:rsidR="00FD5514">
        <w:rPr>
          <w:sz w:val="22"/>
          <w:szCs w:val="22"/>
        </w:rPr>
        <w:t>d as of the date of settlement.</w:t>
      </w:r>
      <w:r w:rsidR="00A912CC">
        <w:rPr>
          <w:sz w:val="22"/>
          <w:szCs w:val="22"/>
        </w:rPr>
        <w:t xml:space="preserve"> </w:t>
      </w:r>
      <w:r>
        <w:rPr>
          <w:sz w:val="22"/>
          <w:szCs w:val="22"/>
        </w:rPr>
        <w:t xml:space="preserve">Making assumptions simply because it was a vendor </w:t>
      </w:r>
      <w:r w:rsidR="00FD5514">
        <w:rPr>
          <w:sz w:val="22"/>
          <w:szCs w:val="22"/>
        </w:rPr>
        <w:t xml:space="preserve">explained their “take” on the issue at a CLE/CPE </w:t>
      </w:r>
      <w:r w:rsidR="00571F22">
        <w:rPr>
          <w:sz w:val="22"/>
          <w:szCs w:val="22"/>
        </w:rPr>
        <w:t>is not the application of due diligence or evidence of appropriate consideration of Medicare’s interests.</w:t>
      </w:r>
    </w:p>
    <w:p w:rsidR="00A912CC" w:rsidRDefault="00A912CC" w:rsidP="003429F6">
      <w:pPr>
        <w:spacing w:line="360" w:lineRule="auto"/>
        <w:ind w:firstLine="720"/>
        <w:jc w:val="both"/>
        <w:rPr>
          <w:sz w:val="22"/>
          <w:szCs w:val="22"/>
        </w:rPr>
      </w:pPr>
    </w:p>
    <w:p w:rsidR="00A912CC" w:rsidRDefault="002E7B70" w:rsidP="003429F6">
      <w:pPr>
        <w:spacing w:line="360" w:lineRule="auto"/>
        <w:ind w:firstLine="720"/>
        <w:jc w:val="both"/>
        <w:rPr>
          <w:sz w:val="22"/>
          <w:szCs w:val="22"/>
        </w:rPr>
      </w:pPr>
      <w:r>
        <w:rPr>
          <w:sz w:val="22"/>
          <w:szCs w:val="22"/>
        </w:rPr>
        <w:t xml:space="preserve">It is imperative that firms continuously update their </w:t>
      </w:r>
      <w:r w:rsidR="00BB7E2C">
        <w:rPr>
          <w:sz w:val="22"/>
          <w:szCs w:val="22"/>
        </w:rPr>
        <w:t xml:space="preserve">MSP compliance protocols </w:t>
      </w:r>
      <w:r>
        <w:rPr>
          <w:sz w:val="22"/>
          <w:szCs w:val="22"/>
        </w:rPr>
        <w:t xml:space="preserve">and that those protocols include and consider </w:t>
      </w:r>
      <w:r w:rsidR="00BB7E2C">
        <w:rPr>
          <w:sz w:val="22"/>
          <w:szCs w:val="22"/>
        </w:rPr>
        <w:t xml:space="preserve">both a medical and a legal basis. </w:t>
      </w:r>
      <w:r>
        <w:rPr>
          <w:sz w:val="22"/>
          <w:szCs w:val="22"/>
        </w:rPr>
        <w:t xml:space="preserve">Identification of settlement </w:t>
      </w:r>
      <w:r w:rsidR="00BB7E2C">
        <w:rPr>
          <w:sz w:val="22"/>
          <w:szCs w:val="22"/>
        </w:rPr>
        <w:t>proceeds which prepay a claimant’s future medicals</w:t>
      </w:r>
      <w:r w:rsidR="0088702C">
        <w:rPr>
          <w:sz w:val="22"/>
          <w:szCs w:val="22"/>
        </w:rPr>
        <w:t>;</w:t>
      </w:r>
      <w:r w:rsidR="00BB7E2C">
        <w:rPr>
          <w:sz w:val="22"/>
          <w:szCs w:val="22"/>
        </w:rPr>
        <w:t xml:space="preserve"> advising the cl</w:t>
      </w:r>
      <w:r w:rsidR="00FA1E1E">
        <w:rPr>
          <w:sz w:val="22"/>
          <w:szCs w:val="22"/>
        </w:rPr>
        <w:t>ient</w:t>
      </w:r>
      <w:r w:rsidR="00BB7E2C">
        <w:rPr>
          <w:sz w:val="22"/>
          <w:szCs w:val="22"/>
        </w:rPr>
        <w:t xml:space="preserve"> to spend down those proceeds before </w:t>
      </w:r>
      <w:r w:rsidR="008254D0">
        <w:rPr>
          <w:sz w:val="22"/>
          <w:szCs w:val="22"/>
        </w:rPr>
        <w:t>be</w:t>
      </w:r>
      <w:r w:rsidR="00FA1E1E">
        <w:rPr>
          <w:sz w:val="22"/>
          <w:szCs w:val="22"/>
        </w:rPr>
        <w:t>c</w:t>
      </w:r>
      <w:r w:rsidR="008254D0">
        <w:rPr>
          <w:sz w:val="22"/>
          <w:szCs w:val="22"/>
        </w:rPr>
        <w:t>oming otherwise eligible for Medicare</w:t>
      </w:r>
      <w:r w:rsidR="0088702C">
        <w:rPr>
          <w:sz w:val="22"/>
          <w:szCs w:val="22"/>
        </w:rPr>
        <w:t>,</w:t>
      </w:r>
      <w:r w:rsidR="008254D0">
        <w:rPr>
          <w:sz w:val="22"/>
          <w:szCs w:val="22"/>
        </w:rPr>
        <w:t xml:space="preserve"> or </w:t>
      </w:r>
      <w:r w:rsidR="00BB7E2C">
        <w:rPr>
          <w:sz w:val="22"/>
          <w:szCs w:val="22"/>
        </w:rPr>
        <w:t xml:space="preserve">Medicare </w:t>
      </w:r>
      <w:r w:rsidR="008254D0">
        <w:rPr>
          <w:sz w:val="22"/>
          <w:szCs w:val="22"/>
        </w:rPr>
        <w:t xml:space="preserve">is </w:t>
      </w:r>
      <w:r w:rsidR="00BB7E2C">
        <w:rPr>
          <w:sz w:val="22"/>
          <w:szCs w:val="22"/>
        </w:rPr>
        <w:t xml:space="preserve">billed </w:t>
      </w:r>
      <w:r w:rsidR="008254D0">
        <w:rPr>
          <w:sz w:val="22"/>
          <w:szCs w:val="22"/>
        </w:rPr>
        <w:t>for related expenses</w:t>
      </w:r>
      <w:r w:rsidR="0088702C">
        <w:rPr>
          <w:sz w:val="22"/>
          <w:szCs w:val="22"/>
        </w:rPr>
        <w:t>;</w:t>
      </w:r>
      <w:r w:rsidR="008254D0">
        <w:rPr>
          <w:sz w:val="22"/>
          <w:szCs w:val="22"/>
        </w:rPr>
        <w:t xml:space="preserve"> </w:t>
      </w:r>
      <w:r w:rsidR="00BB7E2C">
        <w:rPr>
          <w:sz w:val="22"/>
          <w:szCs w:val="22"/>
        </w:rPr>
        <w:t>and</w:t>
      </w:r>
      <w:r w:rsidR="0088702C">
        <w:rPr>
          <w:sz w:val="22"/>
          <w:szCs w:val="22"/>
        </w:rPr>
        <w:t>,</w:t>
      </w:r>
      <w:r w:rsidR="00BB7E2C">
        <w:rPr>
          <w:sz w:val="22"/>
          <w:szCs w:val="22"/>
        </w:rPr>
        <w:t xml:space="preserve"> providing </w:t>
      </w:r>
      <w:r w:rsidR="008254D0">
        <w:rPr>
          <w:sz w:val="22"/>
          <w:szCs w:val="22"/>
        </w:rPr>
        <w:t xml:space="preserve">an </w:t>
      </w:r>
      <w:r w:rsidR="00BB7E2C">
        <w:rPr>
          <w:sz w:val="22"/>
          <w:szCs w:val="22"/>
        </w:rPr>
        <w:t xml:space="preserve">accounting </w:t>
      </w:r>
      <w:r w:rsidR="00FA1E1E">
        <w:rPr>
          <w:sz w:val="22"/>
          <w:szCs w:val="22"/>
        </w:rPr>
        <w:t xml:space="preserve">system and strategy </w:t>
      </w:r>
      <w:r w:rsidR="00BB7E2C">
        <w:rPr>
          <w:sz w:val="22"/>
          <w:szCs w:val="22"/>
        </w:rPr>
        <w:t xml:space="preserve">to ensure the </w:t>
      </w:r>
      <w:r w:rsidR="00FA1E1E">
        <w:rPr>
          <w:sz w:val="22"/>
          <w:szCs w:val="22"/>
        </w:rPr>
        <w:t xml:space="preserve">apportioned proceeds </w:t>
      </w:r>
      <w:r w:rsidR="00BB7E2C">
        <w:rPr>
          <w:sz w:val="22"/>
          <w:szCs w:val="22"/>
        </w:rPr>
        <w:t>are spent properly are future medical best practices in 201</w:t>
      </w:r>
      <w:r w:rsidR="008254D0">
        <w:rPr>
          <w:sz w:val="22"/>
          <w:szCs w:val="22"/>
        </w:rPr>
        <w:t xml:space="preserve">8 and beyond. </w:t>
      </w:r>
      <w:r w:rsidR="00BB7E2C">
        <w:rPr>
          <w:sz w:val="22"/>
          <w:szCs w:val="22"/>
        </w:rPr>
        <w:t xml:space="preserve"> </w:t>
      </w:r>
      <w:r w:rsidR="0088702C">
        <w:rPr>
          <w:sz w:val="22"/>
          <w:szCs w:val="22"/>
        </w:rPr>
        <w:t>Practitioner</w:t>
      </w:r>
      <w:r w:rsidR="00903E12">
        <w:rPr>
          <w:sz w:val="22"/>
          <w:szCs w:val="22"/>
        </w:rPr>
        <w:t>s</w:t>
      </w:r>
      <w:r w:rsidR="0088702C">
        <w:rPr>
          <w:sz w:val="22"/>
          <w:szCs w:val="22"/>
        </w:rPr>
        <w:t xml:space="preserve"> </w:t>
      </w:r>
      <w:r w:rsidR="00BB7E2C">
        <w:rPr>
          <w:sz w:val="22"/>
          <w:szCs w:val="22"/>
        </w:rPr>
        <w:t xml:space="preserve">serious about protecting </w:t>
      </w:r>
      <w:r w:rsidR="0088702C">
        <w:rPr>
          <w:sz w:val="22"/>
          <w:szCs w:val="22"/>
        </w:rPr>
        <w:t xml:space="preserve">their clients from loss of </w:t>
      </w:r>
      <w:r w:rsidR="00B35379">
        <w:rPr>
          <w:sz w:val="22"/>
          <w:szCs w:val="22"/>
        </w:rPr>
        <w:t xml:space="preserve">future </w:t>
      </w:r>
      <w:r w:rsidR="0088702C">
        <w:rPr>
          <w:sz w:val="22"/>
          <w:szCs w:val="22"/>
        </w:rPr>
        <w:t xml:space="preserve">benefits and </w:t>
      </w:r>
      <w:r w:rsidR="00B35379">
        <w:rPr>
          <w:sz w:val="22"/>
          <w:szCs w:val="22"/>
        </w:rPr>
        <w:t xml:space="preserve">the wrath of </w:t>
      </w:r>
      <w:r w:rsidR="00BB7E2C">
        <w:rPr>
          <w:sz w:val="22"/>
          <w:szCs w:val="22"/>
        </w:rPr>
        <w:t>the federal government</w:t>
      </w:r>
      <w:r w:rsidR="00B35379">
        <w:rPr>
          <w:sz w:val="22"/>
          <w:szCs w:val="22"/>
        </w:rPr>
        <w:t>, as well as themselves and their fir</w:t>
      </w:r>
      <w:r w:rsidR="00B35379" w:rsidRPr="005B10CD">
        <w:rPr>
          <w:sz w:val="22"/>
          <w:szCs w:val="22"/>
        </w:rPr>
        <w:t xml:space="preserve">ms from allegations of impropriety will proactively </w:t>
      </w:r>
      <w:r w:rsidR="00903E12" w:rsidRPr="005B10CD">
        <w:rPr>
          <w:sz w:val="22"/>
          <w:szCs w:val="22"/>
        </w:rPr>
        <w:t xml:space="preserve">consider Medicare’s interests and educate their clients on the </w:t>
      </w:r>
      <w:r w:rsidR="0009176D" w:rsidRPr="005B10CD">
        <w:rPr>
          <w:sz w:val="22"/>
          <w:szCs w:val="22"/>
        </w:rPr>
        <w:t>means of protecting their settlement funds.</w:t>
      </w:r>
    </w:p>
    <w:p w:rsidR="00EE492A" w:rsidRDefault="00EE492A" w:rsidP="003429F6">
      <w:pPr>
        <w:spacing w:line="360" w:lineRule="auto"/>
        <w:ind w:firstLine="720"/>
        <w:jc w:val="both"/>
        <w:rPr>
          <w:sz w:val="22"/>
          <w:szCs w:val="22"/>
        </w:rPr>
      </w:pPr>
    </w:p>
    <w:p w:rsidR="00EE492A" w:rsidRDefault="00EE492A" w:rsidP="003429F6">
      <w:pPr>
        <w:spacing w:line="360" w:lineRule="auto"/>
        <w:ind w:firstLine="720"/>
        <w:jc w:val="both"/>
        <w:rPr>
          <w:sz w:val="22"/>
          <w:szCs w:val="22"/>
        </w:rPr>
      </w:pPr>
      <w:r>
        <w:rPr>
          <w:sz w:val="22"/>
          <w:szCs w:val="22"/>
        </w:rPr>
        <w:t>Because the nature of a MSA, be it in Liability or Workers’ Compensation matter, is an accounting to show due consideration of Medicare’s interest</w:t>
      </w:r>
      <w:r w:rsidR="00280A38">
        <w:rPr>
          <w:sz w:val="22"/>
          <w:szCs w:val="22"/>
        </w:rPr>
        <w:t xml:space="preserve">; remember that neither law nor medicine actually rules the day. Calculations are actually </w:t>
      </w:r>
      <w:proofErr w:type="gramStart"/>
      <w:r w:rsidR="00280A38">
        <w:rPr>
          <w:sz w:val="22"/>
          <w:szCs w:val="22"/>
        </w:rPr>
        <w:t>fairly straightforward</w:t>
      </w:r>
      <w:proofErr w:type="gramEnd"/>
      <w:r w:rsidR="00280A38">
        <w:rPr>
          <w:sz w:val="22"/>
          <w:szCs w:val="22"/>
        </w:rPr>
        <w:t xml:space="preserve"> and the basic information has, in </w:t>
      </w:r>
      <w:r w:rsidR="005A2C0F">
        <w:rPr>
          <w:sz w:val="22"/>
          <w:szCs w:val="22"/>
        </w:rPr>
        <w:t>diligently pursued cases, been gathered and presented by both sides of the bar. The MSA is simply a two column accounting page</w:t>
      </w:r>
      <w:r w:rsidR="00F312A4">
        <w:rPr>
          <w:sz w:val="22"/>
          <w:szCs w:val="22"/>
        </w:rPr>
        <w:t>: one reporting recipient of funds (planned or completed), and the other the amounts disbursed or planned for disbursement.</w:t>
      </w:r>
    </w:p>
    <w:p w:rsidR="00D208BC" w:rsidRDefault="00D208BC">
      <w:pPr>
        <w:rPr>
          <w:sz w:val="22"/>
          <w:szCs w:val="22"/>
        </w:rPr>
      </w:pPr>
      <w:r>
        <w:rPr>
          <w:sz w:val="22"/>
          <w:szCs w:val="22"/>
        </w:rPr>
        <w:br w:type="page"/>
      </w:r>
    </w:p>
    <w:p w:rsidR="006F71D9" w:rsidRDefault="006F71D9" w:rsidP="003429F6">
      <w:pPr>
        <w:spacing w:line="360" w:lineRule="auto"/>
        <w:ind w:firstLine="720"/>
        <w:jc w:val="both"/>
        <w:rPr>
          <w:sz w:val="22"/>
          <w:szCs w:val="22"/>
        </w:rPr>
      </w:pPr>
      <w:r>
        <w:rPr>
          <w:sz w:val="22"/>
          <w:szCs w:val="22"/>
        </w:rPr>
        <w:lastRenderedPageBreak/>
        <w:t>The long and short of the accounting is something like this:</w:t>
      </w:r>
    </w:p>
    <w:p w:rsidR="006F71D9" w:rsidRDefault="006F71D9" w:rsidP="003429F6">
      <w:pPr>
        <w:spacing w:line="360" w:lineRule="auto"/>
        <w:ind w:firstLine="720"/>
        <w:jc w:val="both"/>
        <w:rPr>
          <w:sz w:val="22"/>
          <w:szCs w:val="22"/>
        </w:rPr>
      </w:pPr>
    </w:p>
    <w:p w:rsidR="00DD3A4D" w:rsidRDefault="00DD3A4D" w:rsidP="003429F6">
      <w:pPr>
        <w:spacing w:line="360" w:lineRule="auto"/>
        <w:ind w:firstLine="720"/>
        <w:jc w:val="both"/>
        <w:rPr>
          <w:sz w:val="22"/>
          <w:szCs w:val="22"/>
        </w:rPr>
      </w:pPr>
    </w:p>
    <w:tbl>
      <w:tblPr>
        <w:tblW w:w="8559" w:type="dxa"/>
        <w:tblInd w:w="104" w:type="dxa"/>
        <w:tblLayout w:type="fixed"/>
        <w:tblCellMar>
          <w:left w:w="0" w:type="dxa"/>
          <w:right w:w="0" w:type="dxa"/>
        </w:tblCellMar>
        <w:tblLook w:val="01E0" w:firstRow="1" w:lastRow="1" w:firstColumn="1" w:lastColumn="1" w:noHBand="0" w:noVBand="0"/>
      </w:tblPr>
      <w:tblGrid>
        <w:gridCol w:w="6755"/>
        <w:gridCol w:w="1804"/>
      </w:tblGrid>
      <w:tr w:rsidR="00C476C7" w:rsidRPr="00DD3A4D" w:rsidTr="00DD3A4D">
        <w:trPr>
          <w:trHeight w:hRule="exact" w:val="406"/>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right="7"/>
              <w:jc w:val="both"/>
              <w:rPr>
                <w:rFonts w:asciiTheme="majorHAnsi" w:eastAsia="Calibri" w:hAnsiTheme="majorHAnsi" w:cs="Calibri"/>
                <w:sz w:val="28"/>
                <w:szCs w:val="28"/>
              </w:rPr>
            </w:pPr>
            <w:r w:rsidRPr="00DD3A4D">
              <w:rPr>
                <w:rFonts w:asciiTheme="majorHAnsi" w:hAnsiTheme="majorHAnsi"/>
                <w:b/>
                <w:sz w:val="28"/>
                <w:szCs w:val="28"/>
              </w:rPr>
              <w:t>Item</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494"/>
              <w:jc w:val="both"/>
              <w:rPr>
                <w:rFonts w:asciiTheme="majorHAnsi" w:eastAsia="Calibri" w:hAnsiTheme="majorHAnsi" w:cs="Calibri"/>
                <w:sz w:val="28"/>
                <w:szCs w:val="28"/>
              </w:rPr>
            </w:pPr>
            <w:r w:rsidRPr="00DD3A4D">
              <w:rPr>
                <w:rFonts w:asciiTheme="majorHAnsi" w:hAnsiTheme="majorHAnsi"/>
                <w:b/>
                <w:sz w:val="28"/>
                <w:szCs w:val="28"/>
              </w:rPr>
              <w:t>Totals</w:t>
            </w:r>
          </w:p>
        </w:tc>
      </w:tr>
      <w:tr w:rsidR="00C476C7" w:rsidRPr="00DD3A4D" w:rsidTr="00DD3A4D">
        <w:trPr>
          <w:trHeight w:hRule="exact" w:val="413"/>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 xml:space="preserve">Settlement </w:t>
            </w:r>
            <w:r w:rsidRPr="00DD3A4D">
              <w:rPr>
                <w:rFonts w:asciiTheme="majorHAnsi" w:hAnsiTheme="majorHAnsi"/>
                <w:spacing w:val="4"/>
                <w:sz w:val="28"/>
                <w:szCs w:val="28"/>
              </w:rPr>
              <w:t xml:space="preserve"> </w:t>
            </w:r>
            <w:r w:rsidRPr="00DD3A4D">
              <w:rPr>
                <w:rFonts w:asciiTheme="majorHAnsi" w:hAnsiTheme="majorHAnsi"/>
                <w:sz w:val="28"/>
                <w:szCs w:val="28"/>
              </w:rPr>
              <w:t>Amount</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329"/>
              <w:jc w:val="both"/>
              <w:rPr>
                <w:rFonts w:asciiTheme="majorHAnsi" w:eastAsia="Calibri" w:hAnsiTheme="majorHAnsi" w:cs="Calibri"/>
                <w:sz w:val="28"/>
                <w:szCs w:val="28"/>
              </w:rPr>
            </w:pPr>
            <w:r w:rsidRPr="00DD3A4D">
              <w:rPr>
                <w:rFonts w:asciiTheme="majorHAnsi" w:hAnsiTheme="majorHAnsi"/>
                <w:sz w:val="28"/>
                <w:szCs w:val="28"/>
              </w:rPr>
              <w:t>$700,000.00</w:t>
            </w:r>
          </w:p>
        </w:tc>
      </w:tr>
      <w:tr w:rsidR="00C476C7" w:rsidRPr="00DD3A4D" w:rsidTr="00DD3A4D">
        <w:trPr>
          <w:trHeight w:hRule="exact" w:val="406"/>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Attorney's</w:t>
            </w:r>
            <w:r w:rsidRPr="00DD3A4D">
              <w:rPr>
                <w:rFonts w:asciiTheme="majorHAnsi" w:hAnsiTheme="majorHAnsi"/>
                <w:spacing w:val="38"/>
                <w:sz w:val="28"/>
                <w:szCs w:val="28"/>
              </w:rPr>
              <w:t xml:space="preserve"> </w:t>
            </w:r>
            <w:r w:rsidRPr="00DD3A4D">
              <w:rPr>
                <w:rFonts w:asciiTheme="majorHAnsi" w:hAnsiTheme="majorHAnsi"/>
                <w:sz w:val="28"/>
                <w:szCs w:val="28"/>
              </w:rPr>
              <w:t>Fees</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329"/>
              <w:jc w:val="both"/>
              <w:rPr>
                <w:rFonts w:asciiTheme="majorHAnsi" w:eastAsia="Calibri" w:hAnsiTheme="majorHAnsi" w:cs="Calibri"/>
                <w:sz w:val="28"/>
                <w:szCs w:val="28"/>
              </w:rPr>
            </w:pPr>
            <w:r w:rsidRPr="00DD3A4D">
              <w:rPr>
                <w:rFonts w:asciiTheme="majorHAnsi" w:hAnsiTheme="majorHAnsi"/>
                <w:sz w:val="28"/>
                <w:szCs w:val="28"/>
              </w:rPr>
              <w:t>$233,333.33</w:t>
            </w:r>
          </w:p>
        </w:tc>
      </w:tr>
      <w:tr w:rsidR="00C476C7" w:rsidRPr="00DD3A4D" w:rsidTr="00DD3A4D">
        <w:trPr>
          <w:trHeight w:hRule="exact" w:val="413"/>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Case</w:t>
            </w:r>
            <w:r w:rsidRPr="00DD3A4D">
              <w:rPr>
                <w:rFonts w:asciiTheme="majorHAnsi" w:hAnsiTheme="majorHAnsi"/>
                <w:spacing w:val="30"/>
                <w:sz w:val="28"/>
                <w:szCs w:val="28"/>
              </w:rPr>
              <w:t xml:space="preserve"> </w:t>
            </w:r>
            <w:r w:rsidRPr="00DD3A4D">
              <w:rPr>
                <w:rFonts w:asciiTheme="majorHAnsi" w:hAnsiTheme="majorHAnsi"/>
                <w:sz w:val="28"/>
                <w:szCs w:val="28"/>
              </w:rPr>
              <w:t>Costs</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441"/>
              <w:jc w:val="both"/>
              <w:rPr>
                <w:rFonts w:asciiTheme="majorHAnsi" w:eastAsia="Calibri" w:hAnsiTheme="majorHAnsi" w:cs="Calibri"/>
                <w:sz w:val="28"/>
                <w:szCs w:val="28"/>
              </w:rPr>
            </w:pPr>
            <w:r w:rsidRPr="00DD3A4D">
              <w:rPr>
                <w:rFonts w:asciiTheme="majorHAnsi" w:hAnsiTheme="majorHAnsi"/>
                <w:sz w:val="28"/>
                <w:szCs w:val="28"/>
              </w:rPr>
              <w:t>$37,572.51</w:t>
            </w:r>
          </w:p>
        </w:tc>
      </w:tr>
      <w:tr w:rsidR="00C476C7" w:rsidRPr="00DD3A4D" w:rsidTr="00DD3A4D">
        <w:trPr>
          <w:trHeight w:hRule="exact" w:val="406"/>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Medicare</w:t>
            </w:r>
            <w:r w:rsidRPr="00DD3A4D">
              <w:rPr>
                <w:rFonts w:asciiTheme="majorHAnsi" w:hAnsiTheme="majorHAnsi"/>
                <w:spacing w:val="36"/>
                <w:sz w:val="28"/>
                <w:szCs w:val="28"/>
              </w:rPr>
              <w:t xml:space="preserve"> </w:t>
            </w:r>
            <w:r w:rsidRPr="00DD3A4D">
              <w:rPr>
                <w:rFonts w:asciiTheme="majorHAnsi" w:hAnsiTheme="majorHAnsi"/>
                <w:sz w:val="28"/>
                <w:szCs w:val="28"/>
              </w:rPr>
              <w:t>Lien</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42"/>
              <w:jc w:val="both"/>
              <w:rPr>
                <w:rFonts w:asciiTheme="majorHAnsi" w:eastAsia="Calibri" w:hAnsiTheme="majorHAnsi" w:cs="Calibri"/>
                <w:sz w:val="28"/>
                <w:szCs w:val="28"/>
              </w:rPr>
            </w:pPr>
            <w:r w:rsidRPr="00DD3A4D">
              <w:rPr>
                <w:rFonts w:asciiTheme="majorHAnsi" w:hAnsiTheme="majorHAnsi"/>
                <w:sz w:val="28"/>
                <w:szCs w:val="28"/>
              </w:rPr>
              <w:t>$0.00</w:t>
            </w:r>
          </w:p>
        </w:tc>
      </w:tr>
      <w:tr w:rsidR="00C476C7" w:rsidRPr="00DD3A4D" w:rsidTr="00DD3A4D">
        <w:trPr>
          <w:trHeight w:hRule="exact" w:val="406"/>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Medicaid</w:t>
            </w:r>
            <w:r w:rsidRPr="00DD3A4D">
              <w:rPr>
                <w:rFonts w:asciiTheme="majorHAnsi" w:hAnsiTheme="majorHAnsi"/>
                <w:spacing w:val="36"/>
                <w:sz w:val="28"/>
                <w:szCs w:val="28"/>
              </w:rPr>
              <w:t xml:space="preserve"> </w:t>
            </w:r>
            <w:r w:rsidRPr="00DD3A4D">
              <w:rPr>
                <w:rFonts w:asciiTheme="majorHAnsi" w:hAnsiTheme="majorHAnsi"/>
                <w:sz w:val="28"/>
                <w:szCs w:val="28"/>
              </w:rPr>
              <w:t>Lien</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42"/>
              <w:jc w:val="both"/>
              <w:rPr>
                <w:rFonts w:asciiTheme="majorHAnsi" w:eastAsia="Calibri" w:hAnsiTheme="majorHAnsi" w:cs="Calibri"/>
                <w:sz w:val="28"/>
                <w:szCs w:val="28"/>
              </w:rPr>
            </w:pPr>
            <w:r w:rsidRPr="00DD3A4D">
              <w:rPr>
                <w:rFonts w:asciiTheme="majorHAnsi" w:hAnsiTheme="majorHAnsi"/>
                <w:sz w:val="28"/>
                <w:szCs w:val="28"/>
              </w:rPr>
              <w:t>$0.00</w:t>
            </w:r>
          </w:p>
        </w:tc>
      </w:tr>
      <w:tr w:rsidR="00C476C7" w:rsidRPr="00DD3A4D" w:rsidTr="00DD3A4D">
        <w:trPr>
          <w:trHeight w:hRule="exact" w:val="413"/>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Group</w:t>
            </w:r>
            <w:r w:rsidRPr="00DD3A4D">
              <w:rPr>
                <w:rFonts w:asciiTheme="majorHAnsi" w:hAnsiTheme="majorHAnsi"/>
                <w:spacing w:val="21"/>
                <w:sz w:val="28"/>
                <w:szCs w:val="28"/>
              </w:rPr>
              <w:t xml:space="preserve"> </w:t>
            </w:r>
            <w:r w:rsidRPr="00DD3A4D">
              <w:rPr>
                <w:rFonts w:asciiTheme="majorHAnsi" w:hAnsiTheme="majorHAnsi"/>
                <w:sz w:val="28"/>
                <w:szCs w:val="28"/>
              </w:rPr>
              <w:t>Health</w:t>
            </w:r>
            <w:r w:rsidRPr="00DD3A4D">
              <w:rPr>
                <w:rFonts w:asciiTheme="majorHAnsi" w:hAnsiTheme="majorHAnsi"/>
                <w:spacing w:val="22"/>
                <w:sz w:val="28"/>
                <w:szCs w:val="28"/>
              </w:rPr>
              <w:t xml:space="preserve"> </w:t>
            </w:r>
            <w:r w:rsidRPr="00DD3A4D">
              <w:rPr>
                <w:rFonts w:asciiTheme="majorHAnsi" w:hAnsiTheme="majorHAnsi"/>
                <w:sz w:val="28"/>
                <w:szCs w:val="28"/>
              </w:rPr>
              <w:t>Lien</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441"/>
              <w:jc w:val="both"/>
              <w:rPr>
                <w:rFonts w:asciiTheme="majorHAnsi" w:eastAsia="Calibri" w:hAnsiTheme="majorHAnsi" w:cs="Calibri"/>
                <w:sz w:val="28"/>
                <w:szCs w:val="28"/>
              </w:rPr>
            </w:pPr>
            <w:r w:rsidRPr="00DD3A4D">
              <w:rPr>
                <w:rFonts w:asciiTheme="majorHAnsi" w:hAnsiTheme="majorHAnsi"/>
                <w:sz w:val="28"/>
                <w:szCs w:val="28"/>
              </w:rPr>
              <w:t>$10,570.18</w:t>
            </w:r>
          </w:p>
        </w:tc>
      </w:tr>
      <w:tr w:rsidR="00C476C7" w:rsidRPr="00DD3A4D" w:rsidTr="00DD3A4D">
        <w:trPr>
          <w:trHeight w:hRule="exact" w:val="406"/>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VA</w:t>
            </w:r>
            <w:r w:rsidRPr="00DD3A4D">
              <w:rPr>
                <w:rFonts w:asciiTheme="majorHAnsi" w:hAnsiTheme="majorHAnsi"/>
                <w:spacing w:val="18"/>
                <w:sz w:val="28"/>
                <w:szCs w:val="28"/>
              </w:rPr>
              <w:t xml:space="preserve"> </w:t>
            </w:r>
            <w:r w:rsidRPr="00DD3A4D">
              <w:rPr>
                <w:rFonts w:asciiTheme="majorHAnsi" w:hAnsiTheme="majorHAnsi"/>
                <w:sz w:val="28"/>
                <w:szCs w:val="28"/>
              </w:rPr>
              <w:t>Lien</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42"/>
              <w:jc w:val="both"/>
              <w:rPr>
                <w:rFonts w:asciiTheme="majorHAnsi" w:eastAsia="Calibri" w:hAnsiTheme="majorHAnsi" w:cs="Calibri"/>
                <w:sz w:val="28"/>
                <w:szCs w:val="28"/>
              </w:rPr>
            </w:pPr>
            <w:r w:rsidRPr="00DD3A4D">
              <w:rPr>
                <w:rFonts w:asciiTheme="majorHAnsi" w:hAnsiTheme="majorHAnsi"/>
                <w:sz w:val="28"/>
                <w:szCs w:val="28"/>
              </w:rPr>
              <w:t>$0.00</w:t>
            </w:r>
          </w:p>
        </w:tc>
      </w:tr>
      <w:tr w:rsidR="00C476C7" w:rsidRPr="00DD3A4D" w:rsidTr="00DD3A4D">
        <w:trPr>
          <w:trHeight w:hRule="exact" w:val="413"/>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LOP</w:t>
            </w:r>
            <w:r w:rsidRPr="00DD3A4D">
              <w:rPr>
                <w:rFonts w:asciiTheme="majorHAnsi" w:hAnsiTheme="majorHAnsi"/>
                <w:spacing w:val="22"/>
                <w:sz w:val="28"/>
                <w:szCs w:val="28"/>
              </w:rPr>
              <w:t xml:space="preserve"> </w:t>
            </w:r>
            <w:r w:rsidRPr="00DD3A4D">
              <w:rPr>
                <w:rFonts w:asciiTheme="majorHAnsi" w:hAnsiTheme="majorHAnsi"/>
                <w:sz w:val="28"/>
                <w:szCs w:val="28"/>
              </w:rPr>
              <w:t>Lien</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329"/>
              <w:jc w:val="both"/>
              <w:rPr>
                <w:rFonts w:asciiTheme="majorHAnsi" w:eastAsia="Calibri" w:hAnsiTheme="majorHAnsi" w:cs="Calibri"/>
                <w:sz w:val="28"/>
                <w:szCs w:val="28"/>
              </w:rPr>
            </w:pPr>
            <w:r w:rsidRPr="00DD3A4D">
              <w:rPr>
                <w:rFonts w:asciiTheme="majorHAnsi" w:hAnsiTheme="majorHAnsi"/>
                <w:sz w:val="28"/>
                <w:szCs w:val="28"/>
              </w:rPr>
              <w:t>$264,461.36</w:t>
            </w:r>
          </w:p>
        </w:tc>
      </w:tr>
      <w:tr w:rsidR="00C476C7" w:rsidRPr="00DD3A4D" w:rsidTr="00DD3A4D">
        <w:trPr>
          <w:trHeight w:hRule="exact" w:val="406"/>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Li</w:t>
            </w:r>
            <w:r w:rsidRPr="00DD3A4D">
              <w:rPr>
                <w:rFonts w:asciiTheme="majorHAnsi" w:hAnsiTheme="majorHAnsi"/>
                <w:spacing w:val="1"/>
                <w:sz w:val="28"/>
                <w:szCs w:val="28"/>
              </w:rPr>
              <w:t>en</w:t>
            </w:r>
            <w:r w:rsidRPr="00DD3A4D">
              <w:rPr>
                <w:rFonts w:asciiTheme="majorHAnsi" w:hAnsiTheme="majorHAnsi"/>
                <w:sz w:val="28"/>
                <w:szCs w:val="28"/>
              </w:rPr>
              <w:t>,</w:t>
            </w:r>
            <w:r w:rsidRPr="00DD3A4D">
              <w:rPr>
                <w:rFonts w:asciiTheme="majorHAnsi" w:hAnsiTheme="majorHAnsi"/>
                <w:spacing w:val="27"/>
                <w:sz w:val="28"/>
                <w:szCs w:val="28"/>
              </w:rPr>
              <w:t xml:space="preserve"> </w:t>
            </w:r>
            <w:r w:rsidRPr="00DD3A4D">
              <w:rPr>
                <w:rFonts w:asciiTheme="majorHAnsi" w:hAnsiTheme="majorHAnsi"/>
                <w:spacing w:val="1"/>
                <w:sz w:val="28"/>
                <w:szCs w:val="28"/>
              </w:rPr>
              <w:t>Oa</w:t>
            </w:r>
            <w:r w:rsidRPr="00DD3A4D">
              <w:rPr>
                <w:rFonts w:asciiTheme="majorHAnsi" w:hAnsiTheme="majorHAnsi"/>
                <w:sz w:val="28"/>
                <w:szCs w:val="28"/>
              </w:rPr>
              <w:t>sis</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441"/>
              <w:jc w:val="both"/>
              <w:rPr>
                <w:rFonts w:asciiTheme="majorHAnsi" w:eastAsia="Calibri" w:hAnsiTheme="majorHAnsi" w:cs="Calibri"/>
                <w:sz w:val="28"/>
                <w:szCs w:val="28"/>
              </w:rPr>
            </w:pPr>
            <w:r w:rsidRPr="00DD3A4D">
              <w:rPr>
                <w:rFonts w:asciiTheme="majorHAnsi" w:hAnsiTheme="majorHAnsi"/>
                <w:sz w:val="28"/>
                <w:szCs w:val="28"/>
              </w:rPr>
              <w:t>$76,706.50</w:t>
            </w:r>
          </w:p>
        </w:tc>
      </w:tr>
      <w:tr w:rsidR="00C476C7" w:rsidRPr="00DD3A4D" w:rsidTr="00DD3A4D">
        <w:trPr>
          <w:trHeight w:hRule="exact" w:val="413"/>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Lien,</w:t>
            </w:r>
            <w:r w:rsidRPr="00DD3A4D">
              <w:rPr>
                <w:rFonts w:asciiTheme="majorHAnsi" w:hAnsiTheme="majorHAnsi"/>
                <w:spacing w:val="21"/>
                <w:sz w:val="28"/>
                <w:szCs w:val="28"/>
              </w:rPr>
              <w:t xml:space="preserve"> </w:t>
            </w:r>
            <w:r w:rsidRPr="00DD3A4D">
              <w:rPr>
                <w:rFonts w:asciiTheme="majorHAnsi" w:hAnsiTheme="majorHAnsi"/>
                <w:sz w:val="28"/>
                <w:szCs w:val="28"/>
              </w:rPr>
              <w:t>Green</w:t>
            </w:r>
            <w:r w:rsidRPr="00DD3A4D">
              <w:rPr>
                <w:rFonts w:asciiTheme="majorHAnsi" w:hAnsiTheme="majorHAnsi"/>
                <w:spacing w:val="24"/>
                <w:sz w:val="28"/>
                <w:szCs w:val="28"/>
              </w:rPr>
              <w:t xml:space="preserve"> </w:t>
            </w:r>
            <w:r w:rsidRPr="00DD3A4D">
              <w:rPr>
                <w:rFonts w:asciiTheme="majorHAnsi" w:hAnsiTheme="majorHAnsi"/>
                <w:sz w:val="28"/>
                <w:szCs w:val="28"/>
              </w:rPr>
              <w:t>Link</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552"/>
              <w:jc w:val="both"/>
              <w:rPr>
                <w:rFonts w:asciiTheme="majorHAnsi" w:eastAsia="Calibri" w:hAnsiTheme="majorHAnsi" w:cs="Calibri"/>
                <w:sz w:val="28"/>
                <w:szCs w:val="28"/>
              </w:rPr>
            </w:pPr>
            <w:r w:rsidRPr="00DD3A4D">
              <w:rPr>
                <w:rFonts w:asciiTheme="majorHAnsi" w:hAnsiTheme="majorHAnsi"/>
                <w:sz w:val="28"/>
                <w:szCs w:val="28"/>
              </w:rPr>
              <w:t>$7,515.54</w:t>
            </w:r>
          </w:p>
        </w:tc>
      </w:tr>
      <w:tr w:rsidR="00C476C7" w:rsidRPr="00DD3A4D" w:rsidTr="00DD3A4D">
        <w:trPr>
          <w:trHeight w:hRule="exact" w:val="406"/>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Lost</w:t>
            </w:r>
            <w:r w:rsidRPr="00DD3A4D">
              <w:rPr>
                <w:rFonts w:asciiTheme="majorHAnsi" w:hAnsiTheme="majorHAnsi"/>
                <w:spacing w:val="21"/>
                <w:sz w:val="28"/>
                <w:szCs w:val="28"/>
              </w:rPr>
              <w:t xml:space="preserve"> </w:t>
            </w:r>
            <w:r w:rsidRPr="00DD3A4D">
              <w:rPr>
                <w:rFonts w:asciiTheme="majorHAnsi" w:hAnsiTheme="majorHAnsi"/>
                <w:sz w:val="28"/>
                <w:szCs w:val="28"/>
              </w:rPr>
              <w:t>Wages</w:t>
            </w:r>
            <w:r w:rsidRPr="00DD3A4D">
              <w:rPr>
                <w:rFonts w:asciiTheme="majorHAnsi" w:hAnsiTheme="majorHAnsi"/>
                <w:spacing w:val="22"/>
                <w:sz w:val="28"/>
                <w:szCs w:val="28"/>
              </w:rPr>
              <w:t xml:space="preserve"> </w:t>
            </w:r>
            <w:r w:rsidRPr="00DD3A4D">
              <w:rPr>
                <w:rFonts w:asciiTheme="majorHAnsi" w:hAnsiTheme="majorHAnsi"/>
                <w:sz w:val="28"/>
                <w:szCs w:val="28"/>
              </w:rPr>
              <w:t>or</w:t>
            </w:r>
            <w:r w:rsidRPr="00DD3A4D">
              <w:rPr>
                <w:rFonts w:asciiTheme="majorHAnsi" w:hAnsiTheme="majorHAnsi"/>
                <w:spacing w:val="22"/>
                <w:sz w:val="28"/>
                <w:szCs w:val="28"/>
              </w:rPr>
              <w:t xml:space="preserve"> </w:t>
            </w:r>
            <w:r w:rsidRPr="00DD3A4D">
              <w:rPr>
                <w:rFonts w:asciiTheme="majorHAnsi" w:hAnsiTheme="majorHAnsi"/>
                <w:sz w:val="28"/>
                <w:szCs w:val="28"/>
              </w:rPr>
              <w:t>earning</w:t>
            </w:r>
            <w:r w:rsidRPr="00DD3A4D">
              <w:rPr>
                <w:rFonts w:asciiTheme="majorHAnsi" w:hAnsiTheme="majorHAnsi"/>
                <w:spacing w:val="24"/>
                <w:sz w:val="28"/>
                <w:szCs w:val="28"/>
              </w:rPr>
              <w:t xml:space="preserve"> </w:t>
            </w:r>
            <w:r w:rsidRPr="00DD3A4D">
              <w:rPr>
                <w:rFonts w:asciiTheme="majorHAnsi" w:hAnsiTheme="majorHAnsi"/>
                <w:sz w:val="28"/>
                <w:szCs w:val="28"/>
              </w:rPr>
              <w:t>capacity</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441"/>
              <w:jc w:val="both"/>
              <w:rPr>
                <w:rFonts w:asciiTheme="majorHAnsi" w:eastAsia="Calibri" w:hAnsiTheme="majorHAnsi" w:cs="Calibri"/>
                <w:sz w:val="28"/>
                <w:szCs w:val="28"/>
              </w:rPr>
            </w:pPr>
            <w:r w:rsidRPr="00DD3A4D">
              <w:rPr>
                <w:rFonts w:asciiTheme="majorHAnsi" w:hAnsiTheme="majorHAnsi"/>
                <w:sz w:val="28"/>
                <w:szCs w:val="28"/>
              </w:rPr>
              <w:t>$19,497.00</w:t>
            </w:r>
          </w:p>
        </w:tc>
      </w:tr>
      <w:tr w:rsidR="00C476C7" w:rsidRPr="00DD3A4D" w:rsidTr="00DD3A4D">
        <w:trPr>
          <w:trHeight w:hRule="exact" w:val="406"/>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eastAsia="Calibri" w:hAnsiTheme="majorHAnsi" w:cs="Calibri"/>
                <w:sz w:val="28"/>
                <w:szCs w:val="28"/>
              </w:rPr>
              <w:t>Non</w:t>
            </w:r>
            <w:r w:rsidRPr="00DD3A4D">
              <w:rPr>
                <w:rFonts w:asciiTheme="majorHAnsi" w:eastAsia="Calibri" w:hAnsiTheme="majorHAnsi" w:cs="Calibri"/>
                <w:spacing w:val="2"/>
                <w:sz w:val="28"/>
                <w:szCs w:val="28"/>
              </w:rPr>
              <w:t>-</w:t>
            </w:r>
            <w:r w:rsidRPr="00DD3A4D">
              <w:rPr>
                <w:rFonts w:asciiTheme="majorHAnsi" w:eastAsia="Calibri" w:hAnsiTheme="majorHAnsi" w:cs="Calibri"/>
                <w:sz w:val="28"/>
                <w:szCs w:val="28"/>
              </w:rPr>
              <w:t>covered</w:t>
            </w:r>
            <w:r w:rsidRPr="00DD3A4D">
              <w:rPr>
                <w:rFonts w:asciiTheme="majorHAnsi" w:eastAsia="Calibri" w:hAnsiTheme="majorHAnsi" w:cs="Calibri"/>
                <w:spacing w:val="-23"/>
                <w:sz w:val="28"/>
                <w:szCs w:val="28"/>
              </w:rPr>
              <w:t xml:space="preserve"> </w:t>
            </w:r>
            <w:r w:rsidRPr="00DD3A4D">
              <w:rPr>
                <w:rFonts w:asciiTheme="majorHAnsi" w:eastAsia="Calibri" w:hAnsiTheme="majorHAnsi" w:cs="Calibri"/>
                <w:sz w:val="28"/>
                <w:szCs w:val="28"/>
              </w:rPr>
              <w:t>medical</w:t>
            </w:r>
            <w:r w:rsidRPr="00DD3A4D">
              <w:rPr>
                <w:rFonts w:asciiTheme="majorHAnsi" w:eastAsia="Calibri" w:hAnsiTheme="majorHAnsi" w:cs="Calibri"/>
                <w:spacing w:val="-22"/>
                <w:sz w:val="28"/>
                <w:szCs w:val="28"/>
              </w:rPr>
              <w:t xml:space="preserve"> </w:t>
            </w:r>
            <w:r w:rsidRPr="00DD3A4D">
              <w:rPr>
                <w:rFonts w:asciiTheme="majorHAnsi" w:eastAsia="Calibri" w:hAnsiTheme="majorHAnsi" w:cs="Calibri"/>
                <w:sz w:val="28"/>
                <w:szCs w:val="28"/>
              </w:rPr>
              <w:t>treatment</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42"/>
              <w:jc w:val="both"/>
              <w:rPr>
                <w:rFonts w:asciiTheme="majorHAnsi" w:eastAsia="Calibri" w:hAnsiTheme="majorHAnsi" w:cs="Calibri"/>
                <w:sz w:val="28"/>
                <w:szCs w:val="28"/>
              </w:rPr>
            </w:pPr>
            <w:r w:rsidRPr="00DD3A4D">
              <w:rPr>
                <w:rFonts w:asciiTheme="majorHAnsi" w:hAnsiTheme="majorHAnsi"/>
                <w:sz w:val="28"/>
                <w:szCs w:val="28"/>
              </w:rPr>
              <w:t>$0.00</w:t>
            </w:r>
          </w:p>
        </w:tc>
      </w:tr>
      <w:tr w:rsidR="00C476C7" w:rsidRPr="00DD3A4D" w:rsidTr="00DD3A4D">
        <w:trPr>
          <w:trHeight w:hRule="exact" w:val="413"/>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Total</w:t>
            </w:r>
            <w:r w:rsidRPr="00DD3A4D">
              <w:rPr>
                <w:rFonts w:asciiTheme="majorHAnsi" w:hAnsiTheme="majorHAnsi"/>
                <w:spacing w:val="46"/>
                <w:sz w:val="28"/>
                <w:szCs w:val="28"/>
              </w:rPr>
              <w:t xml:space="preserve"> </w:t>
            </w:r>
            <w:r w:rsidRPr="00DD3A4D">
              <w:rPr>
                <w:rFonts w:asciiTheme="majorHAnsi" w:hAnsiTheme="majorHAnsi"/>
                <w:sz w:val="28"/>
                <w:szCs w:val="28"/>
              </w:rPr>
              <w:t>deductions</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329"/>
              <w:jc w:val="both"/>
              <w:rPr>
                <w:rFonts w:asciiTheme="majorHAnsi" w:eastAsia="Calibri" w:hAnsiTheme="majorHAnsi" w:cs="Calibri"/>
                <w:sz w:val="28"/>
                <w:szCs w:val="28"/>
              </w:rPr>
            </w:pPr>
            <w:r w:rsidRPr="00DD3A4D">
              <w:rPr>
                <w:rFonts w:asciiTheme="majorHAnsi" w:hAnsiTheme="majorHAnsi"/>
                <w:sz w:val="28"/>
                <w:szCs w:val="28"/>
              </w:rPr>
              <w:t>$649,656.42</w:t>
            </w:r>
          </w:p>
        </w:tc>
      </w:tr>
      <w:tr w:rsidR="00C476C7" w:rsidRPr="00DD3A4D" w:rsidTr="00DD3A4D">
        <w:trPr>
          <w:trHeight w:hRule="exact" w:val="406"/>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Monies</w:t>
            </w:r>
            <w:r w:rsidRPr="00DD3A4D">
              <w:rPr>
                <w:rFonts w:asciiTheme="majorHAnsi" w:hAnsiTheme="majorHAnsi"/>
                <w:spacing w:val="25"/>
                <w:sz w:val="28"/>
                <w:szCs w:val="28"/>
              </w:rPr>
              <w:t xml:space="preserve"> </w:t>
            </w:r>
            <w:r w:rsidRPr="00DD3A4D">
              <w:rPr>
                <w:rFonts w:asciiTheme="majorHAnsi" w:hAnsiTheme="majorHAnsi"/>
                <w:sz w:val="28"/>
                <w:szCs w:val="28"/>
              </w:rPr>
              <w:t>available</w:t>
            </w:r>
            <w:r w:rsidRPr="00DD3A4D">
              <w:rPr>
                <w:rFonts w:asciiTheme="majorHAnsi" w:hAnsiTheme="majorHAnsi"/>
                <w:spacing w:val="28"/>
                <w:sz w:val="28"/>
                <w:szCs w:val="28"/>
              </w:rPr>
              <w:t xml:space="preserve"> </w:t>
            </w:r>
            <w:r w:rsidRPr="00DD3A4D">
              <w:rPr>
                <w:rFonts w:asciiTheme="majorHAnsi" w:hAnsiTheme="majorHAnsi"/>
                <w:sz w:val="28"/>
                <w:szCs w:val="28"/>
              </w:rPr>
              <w:t>for</w:t>
            </w:r>
            <w:r w:rsidRPr="00DD3A4D">
              <w:rPr>
                <w:rFonts w:asciiTheme="majorHAnsi" w:hAnsiTheme="majorHAnsi"/>
                <w:spacing w:val="25"/>
                <w:sz w:val="28"/>
                <w:szCs w:val="28"/>
              </w:rPr>
              <w:t xml:space="preserve"> </w:t>
            </w:r>
            <w:r w:rsidRPr="00DD3A4D">
              <w:rPr>
                <w:rFonts w:asciiTheme="majorHAnsi" w:hAnsiTheme="majorHAnsi"/>
                <w:sz w:val="28"/>
                <w:szCs w:val="28"/>
              </w:rPr>
              <w:t>MSA</w:t>
            </w:r>
            <w:r w:rsidRPr="00DD3A4D">
              <w:rPr>
                <w:rFonts w:asciiTheme="majorHAnsi" w:hAnsiTheme="majorHAnsi"/>
                <w:spacing w:val="27"/>
                <w:sz w:val="28"/>
                <w:szCs w:val="28"/>
              </w:rPr>
              <w:t xml:space="preserve"> </w:t>
            </w:r>
            <w:r w:rsidRPr="00DD3A4D">
              <w:rPr>
                <w:rFonts w:asciiTheme="majorHAnsi" w:hAnsiTheme="majorHAnsi"/>
                <w:sz w:val="28"/>
                <w:szCs w:val="28"/>
              </w:rPr>
              <w:t>consideration</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441"/>
              <w:jc w:val="both"/>
              <w:rPr>
                <w:rFonts w:asciiTheme="majorHAnsi" w:eastAsia="Calibri" w:hAnsiTheme="majorHAnsi" w:cs="Calibri"/>
                <w:sz w:val="28"/>
                <w:szCs w:val="28"/>
              </w:rPr>
            </w:pPr>
            <w:r w:rsidRPr="00DD3A4D">
              <w:rPr>
                <w:rFonts w:asciiTheme="majorHAnsi" w:hAnsiTheme="majorHAnsi"/>
                <w:sz w:val="28"/>
                <w:szCs w:val="28"/>
              </w:rPr>
              <w:t>$50,343.58</w:t>
            </w:r>
          </w:p>
        </w:tc>
      </w:tr>
      <w:tr w:rsidR="00C476C7" w:rsidRPr="00DD3A4D" w:rsidTr="00DD3A4D">
        <w:trPr>
          <w:trHeight w:hRule="exact" w:val="413"/>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z w:val="28"/>
                <w:szCs w:val="28"/>
              </w:rPr>
              <w:t>Total</w:t>
            </w:r>
            <w:r w:rsidRPr="00DD3A4D">
              <w:rPr>
                <w:rFonts w:asciiTheme="majorHAnsi" w:hAnsiTheme="majorHAnsi"/>
                <w:spacing w:val="22"/>
                <w:sz w:val="28"/>
                <w:szCs w:val="28"/>
              </w:rPr>
              <w:t xml:space="preserve"> </w:t>
            </w:r>
            <w:r w:rsidRPr="00DD3A4D">
              <w:rPr>
                <w:rFonts w:asciiTheme="majorHAnsi" w:hAnsiTheme="majorHAnsi"/>
                <w:sz w:val="28"/>
                <w:szCs w:val="28"/>
              </w:rPr>
              <w:t>cost</w:t>
            </w:r>
            <w:r w:rsidRPr="00DD3A4D">
              <w:rPr>
                <w:rFonts w:asciiTheme="majorHAnsi" w:hAnsiTheme="majorHAnsi"/>
                <w:spacing w:val="22"/>
                <w:sz w:val="28"/>
                <w:szCs w:val="28"/>
              </w:rPr>
              <w:t xml:space="preserve"> </w:t>
            </w:r>
            <w:r w:rsidRPr="00DD3A4D">
              <w:rPr>
                <w:rFonts w:asciiTheme="majorHAnsi" w:hAnsiTheme="majorHAnsi"/>
                <w:sz w:val="28"/>
                <w:szCs w:val="28"/>
              </w:rPr>
              <w:t>of</w:t>
            </w:r>
            <w:r w:rsidRPr="00DD3A4D">
              <w:rPr>
                <w:rFonts w:asciiTheme="majorHAnsi" w:hAnsiTheme="majorHAnsi"/>
                <w:spacing w:val="22"/>
                <w:sz w:val="28"/>
                <w:szCs w:val="28"/>
              </w:rPr>
              <w:t xml:space="preserve"> </w:t>
            </w:r>
            <w:r w:rsidRPr="00DD3A4D">
              <w:rPr>
                <w:rFonts w:asciiTheme="majorHAnsi" w:hAnsiTheme="majorHAnsi"/>
                <w:sz w:val="28"/>
                <w:szCs w:val="28"/>
              </w:rPr>
              <w:t>future</w:t>
            </w:r>
            <w:r w:rsidRPr="00DD3A4D">
              <w:rPr>
                <w:rFonts w:asciiTheme="majorHAnsi" w:hAnsiTheme="majorHAnsi"/>
                <w:spacing w:val="23"/>
                <w:sz w:val="28"/>
                <w:szCs w:val="28"/>
              </w:rPr>
              <w:t xml:space="preserve"> </w:t>
            </w:r>
            <w:r w:rsidRPr="00DD3A4D">
              <w:rPr>
                <w:rFonts w:asciiTheme="majorHAnsi" w:hAnsiTheme="majorHAnsi"/>
                <w:sz w:val="28"/>
                <w:szCs w:val="28"/>
              </w:rPr>
              <w:t>covered</w:t>
            </w:r>
            <w:r w:rsidRPr="00DD3A4D">
              <w:rPr>
                <w:rFonts w:asciiTheme="majorHAnsi" w:hAnsiTheme="majorHAnsi"/>
                <w:spacing w:val="24"/>
                <w:sz w:val="28"/>
                <w:szCs w:val="28"/>
              </w:rPr>
              <w:t xml:space="preserve"> </w:t>
            </w:r>
            <w:r w:rsidRPr="00DD3A4D">
              <w:rPr>
                <w:rFonts w:asciiTheme="majorHAnsi" w:hAnsiTheme="majorHAnsi"/>
                <w:sz w:val="28"/>
                <w:szCs w:val="28"/>
              </w:rPr>
              <w:t>medical</w:t>
            </w:r>
            <w:r w:rsidRPr="00DD3A4D">
              <w:rPr>
                <w:rFonts w:asciiTheme="majorHAnsi" w:hAnsiTheme="majorHAnsi"/>
                <w:spacing w:val="22"/>
                <w:sz w:val="28"/>
                <w:szCs w:val="28"/>
              </w:rPr>
              <w:t xml:space="preserve"> </w:t>
            </w:r>
            <w:r w:rsidRPr="00DD3A4D">
              <w:rPr>
                <w:rFonts w:asciiTheme="majorHAnsi" w:hAnsiTheme="majorHAnsi"/>
                <w:sz w:val="28"/>
                <w:szCs w:val="28"/>
              </w:rPr>
              <w:t>treatment</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552"/>
              <w:jc w:val="both"/>
              <w:rPr>
                <w:rFonts w:asciiTheme="majorHAnsi" w:eastAsia="Calibri" w:hAnsiTheme="majorHAnsi" w:cs="Calibri"/>
                <w:sz w:val="28"/>
                <w:szCs w:val="28"/>
              </w:rPr>
            </w:pPr>
            <w:r w:rsidRPr="00DD3A4D">
              <w:rPr>
                <w:rFonts w:asciiTheme="majorHAnsi" w:hAnsiTheme="majorHAnsi"/>
                <w:sz w:val="28"/>
                <w:szCs w:val="28"/>
              </w:rPr>
              <w:t>$9,656.78</w:t>
            </w:r>
          </w:p>
        </w:tc>
      </w:tr>
      <w:tr w:rsidR="00C476C7" w:rsidRPr="00DD3A4D" w:rsidTr="00DD3A4D">
        <w:trPr>
          <w:trHeight w:hRule="exact" w:val="406"/>
        </w:trPr>
        <w:tc>
          <w:tcPr>
            <w:tcW w:w="6755"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99"/>
              <w:jc w:val="both"/>
              <w:rPr>
                <w:rFonts w:asciiTheme="majorHAnsi" w:eastAsia="Calibri" w:hAnsiTheme="majorHAnsi" w:cs="Calibri"/>
                <w:sz w:val="28"/>
                <w:szCs w:val="28"/>
              </w:rPr>
            </w:pPr>
            <w:r w:rsidRPr="00DD3A4D">
              <w:rPr>
                <w:rFonts w:asciiTheme="majorHAnsi" w:hAnsiTheme="majorHAnsi"/>
                <w:spacing w:val="1"/>
                <w:sz w:val="28"/>
                <w:szCs w:val="28"/>
              </w:rPr>
              <w:t>B</w:t>
            </w:r>
            <w:r w:rsidRPr="00DD3A4D">
              <w:rPr>
                <w:rFonts w:asciiTheme="majorHAnsi" w:hAnsiTheme="majorHAnsi"/>
                <w:sz w:val="28"/>
                <w:szCs w:val="28"/>
              </w:rPr>
              <w:t>ala</w:t>
            </w:r>
            <w:r w:rsidRPr="00DD3A4D">
              <w:rPr>
                <w:rFonts w:asciiTheme="majorHAnsi" w:hAnsiTheme="majorHAnsi"/>
                <w:spacing w:val="1"/>
                <w:sz w:val="28"/>
                <w:szCs w:val="28"/>
              </w:rPr>
              <w:t>n</w:t>
            </w:r>
            <w:r w:rsidRPr="00DD3A4D">
              <w:rPr>
                <w:rFonts w:asciiTheme="majorHAnsi" w:hAnsiTheme="majorHAnsi"/>
                <w:sz w:val="28"/>
                <w:szCs w:val="28"/>
              </w:rPr>
              <w:t>ce</w:t>
            </w:r>
          </w:p>
        </w:tc>
        <w:tc>
          <w:tcPr>
            <w:tcW w:w="1804" w:type="dxa"/>
            <w:tcBorders>
              <w:top w:val="single" w:sz="5" w:space="0" w:color="000000"/>
              <w:left w:val="single" w:sz="5" w:space="0" w:color="000000"/>
              <w:bottom w:val="single" w:sz="5" w:space="0" w:color="000000"/>
              <w:right w:val="single" w:sz="5" w:space="0" w:color="000000"/>
            </w:tcBorders>
          </w:tcPr>
          <w:p w:rsidR="00C476C7" w:rsidRPr="00DD3A4D" w:rsidRDefault="00C476C7" w:rsidP="003429F6">
            <w:pPr>
              <w:pStyle w:val="TableParagraph"/>
              <w:spacing w:line="360" w:lineRule="auto"/>
              <w:ind w:left="441"/>
              <w:jc w:val="both"/>
              <w:rPr>
                <w:rFonts w:asciiTheme="majorHAnsi" w:eastAsia="Calibri" w:hAnsiTheme="majorHAnsi" w:cs="Calibri"/>
                <w:sz w:val="28"/>
                <w:szCs w:val="28"/>
              </w:rPr>
            </w:pPr>
            <w:r w:rsidRPr="00DD3A4D">
              <w:rPr>
                <w:rFonts w:asciiTheme="majorHAnsi" w:hAnsiTheme="majorHAnsi"/>
                <w:sz w:val="28"/>
                <w:szCs w:val="28"/>
              </w:rPr>
              <w:t>$40,686.80</w:t>
            </w:r>
          </w:p>
        </w:tc>
      </w:tr>
    </w:tbl>
    <w:p w:rsidR="006F71D9" w:rsidRDefault="006F71D9" w:rsidP="003429F6">
      <w:pPr>
        <w:spacing w:line="360" w:lineRule="auto"/>
        <w:ind w:firstLine="720"/>
        <w:jc w:val="both"/>
        <w:rPr>
          <w:sz w:val="22"/>
          <w:szCs w:val="22"/>
        </w:rPr>
      </w:pPr>
    </w:p>
    <w:p w:rsidR="0009176D" w:rsidRDefault="005B10CD" w:rsidP="003429F6">
      <w:pPr>
        <w:spacing w:line="360" w:lineRule="auto"/>
        <w:ind w:firstLine="720"/>
        <w:jc w:val="both"/>
        <w:rPr>
          <w:rFonts w:ascii="Mongolian Baiti" w:hAnsi="Mongolian Baiti"/>
          <w:color w:val="000000"/>
          <w:sz w:val="22"/>
          <w:szCs w:val="22"/>
        </w:rPr>
      </w:pPr>
      <w:r w:rsidRPr="005B10CD">
        <w:rPr>
          <w:sz w:val="22"/>
          <w:szCs w:val="22"/>
        </w:rPr>
        <w:t xml:space="preserve">These </w:t>
      </w:r>
      <w:proofErr w:type="gramStart"/>
      <w:r w:rsidRPr="005B10CD">
        <w:rPr>
          <w:sz w:val="22"/>
          <w:szCs w:val="22"/>
        </w:rPr>
        <w:t>rules basically</w:t>
      </w:r>
      <w:proofErr w:type="gramEnd"/>
      <w:r w:rsidRPr="005B10CD">
        <w:rPr>
          <w:sz w:val="22"/>
          <w:szCs w:val="22"/>
        </w:rPr>
        <w:t xml:space="preserve"> mean if your PI case settles for $700,000, and there is no MSA, the client will be faced with spending the full $700,000 on injury-related treatment before using their Medicare card.</w:t>
      </w:r>
      <w:r w:rsidR="00674CDA">
        <w:rPr>
          <w:sz w:val="22"/>
          <w:szCs w:val="22"/>
        </w:rPr>
        <w:t xml:space="preserve"> It is possible that Medicare will grant that attorney fees and case costs and expenses </w:t>
      </w:r>
      <w:proofErr w:type="gramStart"/>
      <w:r w:rsidR="00674CDA">
        <w:rPr>
          <w:sz w:val="22"/>
          <w:szCs w:val="22"/>
        </w:rPr>
        <w:t>are not considered</w:t>
      </w:r>
      <w:proofErr w:type="gramEnd"/>
      <w:r w:rsidR="00674CDA">
        <w:rPr>
          <w:sz w:val="22"/>
          <w:szCs w:val="22"/>
        </w:rPr>
        <w:t xml:space="preserve"> in their calculations of offsets required. </w:t>
      </w:r>
      <w:r w:rsidR="002A7AFE">
        <w:rPr>
          <w:rFonts w:ascii="Mongolian Baiti" w:hAnsi="Mongolian Baiti"/>
          <w:color w:val="000000"/>
          <w:sz w:val="22"/>
          <w:szCs w:val="22"/>
        </w:rPr>
        <w:t xml:space="preserve">If asked the question on the record, Medicare will say that it does not recognize an offset for those items. </w:t>
      </w:r>
      <w:r w:rsidR="00700A45">
        <w:rPr>
          <w:rFonts w:ascii="Mongolian Baiti" w:hAnsi="Mongolian Baiti"/>
          <w:color w:val="000000"/>
          <w:sz w:val="22"/>
          <w:szCs w:val="22"/>
        </w:rPr>
        <w:t>Hence,</w:t>
      </w:r>
      <w:r w:rsidR="006608AC">
        <w:rPr>
          <w:rFonts w:ascii="Mongolian Baiti" w:hAnsi="Mongolian Baiti"/>
          <w:color w:val="000000"/>
          <w:sz w:val="22"/>
          <w:szCs w:val="22"/>
        </w:rPr>
        <w:t xml:space="preserve"> the client will be required to offset the full settlement amount before </w:t>
      </w:r>
      <w:r w:rsidR="00316E4F">
        <w:rPr>
          <w:rFonts w:ascii="Mongolian Baiti" w:hAnsi="Mongolian Baiti"/>
          <w:color w:val="000000"/>
          <w:sz w:val="22"/>
          <w:szCs w:val="22"/>
        </w:rPr>
        <w:t>M</w:t>
      </w:r>
      <w:r w:rsidR="006608AC">
        <w:rPr>
          <w:rFonts w:ascii="Mongolian Baiti" w:hAnsi="Mongolian Baiti"/>
          <w:color w:val="000000"/>
          <w:sz w:val="22"/>
          <w:szCs w:val="22"/>
        </w:rPr>
        <w:t>edicare will pay for care</w:t>
      </w:r>
      <w:r w:rsidR="00316E4F">
        <w:rPr>
          <w:rFonts w:ascii="Mongolian Baiti" w:hAnsi="Mongolian Baiti"/>
          <w:color w:val="000000"/>
          <w:sz w:val="22"/>
          <w:szCs w:val="22"/>
        </w:rPr>
        <w:t xml:space="preserve">. </w:t>
      </w:r>
      <w:r w:rsidR="002A7AFE">
        <w:rPr>
          <w:rFonts w:ascii="Mongolian Baiti" w:hAnsi="Mongolian Baiti"/>
          <w:color w:val="000000"/>
          <w:sz w:val="22"/>
          <w:szCs w:val="22"/>
        </w:rPr>
        <w:t xml:space="preserve">Off the record, however, their practice is to consider those monies as the “cost of recovery” and not part of the basis in calculating the recoverable amount. Importantly, </w:t>
      </w:r>
      <w:r w:rsidR="000C2FA8">
        <w:rPr>
          <w:rFonts w:ascii="Mongolian Baiti" w:hAnsi="Mongolian Baiti"/>
          <w:color w:val="000000"/>
          <w:sz w:val="22"/>
          <w:szCs w:val="22"/>
        </w:rPr>
        <w:t xml:space="preserve">the current language of the </w:t>
      </w:r>
      <w:r w:rsidR="002A7AFE">
        <w:rPr>
          <w:rFonts w:ascii="Mongolian Baiti" w:hAnsi="Mongolian Baiti"/>
          <w:color w:val="000000"/>
          <w:sz w:val="22"/>
          <w:szCs w:val="22"/>
        </w:rPr>
        <w:t xml:space="preserve">regulation </w:t>
      </w:r>
      <w:r w:rsidR="000C2FA8">
        <w:rPr>
          <w:rFonts w:ascii="Mongolian Baiti" w:hAnsi="Mongolian Baiti"/>
          <w:color w:val="000000"/>
          <w:sz w:val="22"/>
          <w:szCs w:val="22"/>
        </w:rPr>
        <w:t xml:space="preserve">is such that </w:t>
      </w:r>
      <w:r w:rsidR="002A7AFE">
        <w:rPr>
          <w:rFonts w:ascii="Mongolian Baiti" w:hAnsi="Mongolian Baiti"/>
          <w:color w:val="000000"/>
          <w:sz w:val="22"/>
          <w:szCs w:val="22"/>
        </w:rPr>
        <w:t xml:space="preserve">CMS would </w:t>
      </w:r>
      <w:r w:rsidR="000C2FA8">
        <w:rPr>
          <w:rFonts w:ascii="Mongolian Baiti" w:hAnsi="Mongolian Baiti"/>
          <w:color w:val="000000"/>
          <w:sz w:val="22"/>
          <w:szCs w:val="22"/>
        </w:rPr>
        <w:t xml:space="preserve">likely </w:t>
      </w:r>
      <w:r w:rsidR="002A7AFE">
        <w:rPr>
          <w:rFonts w:ascii="Mongolian Baiti" w:hAnsi="Mongolian Baiti"/>
          <w:color w:val="000000"/>
          <w:sz w:val="22"/>
          <w:szCs w:val="22"/>
        </w:rPr>
        <w:t>have to permit that offset since the regulation is not specific in nature.</w:t>
      </w:r>
    </w:p>
    <w:p w:rsidR="00316E4F" w:rsidRDefault="00316E4F" w:rsidP="003429F6">
      <w:pPr>
        <w:spacing w:line="360" w:lineRule="auto"/>
        <w:ind w:firstLine="720"/>
        <w:jc w:val="both"/>
        <w:rPr>
          <w:rFonts w:ascii="Mongolian Baiti" w:hAnsi="Mongolian Baiti"/>
          <w:color w:val="000000"/>
          <w:sz w:val="22"/>
          <w:szCs w:val="22"/>
        </w:rPr>
      </w:pPr>
    </w:p>
    <w:p w:rsidR="00316E4F" w:rsidRDefault="00316E4F" w:rsidP="003429F6">
      <w:pPr>
        <w:spacing w:line="360" w:lineRule="auto"/>
        <w:ind w:firstLine="720"/>
        <w:jc w:val="both"/>
        <w:rPr>
          <w:rFonts w:ascii="Mongolian Baiti" w:hAnsi="Mongolian Baiti"/>
          <w:color w:val="000000"/>
          <w:sz w:val="22"/>
          <w:szCs w:val="22"/>
        </w:rPr>
      </w:pPr>
      <w:r>
        <w:rPr>
          <w:rFonts w:ascii="Mongolian Baiti" w:hAnsi="Mongolian Baiti"/>
          <w:color w:val="000000"/>
          <w:sz w:val="22"/>
          <w:szCs w:val="22"/>
        </w:rPr>
        <w:t xml:space="preserve">This simple document, appropriately completed, may protect your client from any future recovery efforts by Medicare. This is especially true when </w:t>
      </w:r>
      <w:r w:rsidR="00445169">
        <w:rPr>
          <w:rFonts w:ascii="Mongolian Baiti" w:hAnsi="Mongolian Baiti"/>
          <w:color w:val="000000"/>
          <w:sz w:val="22"/>
          <w:szCs w:val="22"/>
        </w:rPr>
        <w:t xml:space="preserve">the MSA </w:t>
      </w:r>
      <w:proofErr w:type="gramStart"/>
      <w:r w:rsidR="00445169">
        <w:rPr>
          <w:rFonts w:ascii="Mongolian Baiti" w:hAnsi="Mongolian Baiti"/>
          <w:color w:val="000000"/>
          <w:sz w:val="22"/>
          <w:szCs w:val="22"/>
        </w:rPr>
        <w:t>is fully funded</w:t>
      </w:r>
      <w:proofErr w:type="gramEnd"/>
      <w:r w:rsidR="00445169">
        <w:rPr>
          <w:rFonts w:ascii="Mongolian Baiti" w:hAnsi="Mongolian Baiti"/>
          <w:color w:val="000000"/>
          <w:sz w:val="22"/>
          <w:szCs w:val="22"/>
        </w:rPr>
        <w:t>. In cases of no known or expected related future medical expenses, a treating physician may write a letter for the firm file to that effect</w:t>
      </w:r>
      <w:r w:rsidR="00613A80">
        <w:rPr>
          <w:rFonts w:ascii="Mongolian Baiti" w:hAnsi="Mongolian Baiti"/>
          <w:color w:val="000000"/>
          <w:sz w:val="22"/>
          <w:szCs w:val="22"/>
        </w:rPr>
        <w:t xml:space="preserve">. Alternatively, </w:t>
      </w:r>
      <w:r w:rsidR="001923BE">
        <w:rPr>
          <w:rFonts w:ascii="Mongolian Baiti" w:hAnsi="Mongolian Baiti"/>
          <w:color w:val="000000"/>
          <w:sz w:val="22"/>
          <w:szCs w:val="22"/>
        </w:rPr>
        <w:t>an attorney well versed in Medicare regulations and law may be consulted to draft an equivalent letter to the affect that there are no future medical expenses anticipated that would be covered</w:t>
      </w:r>
      <w:r w:rsidR="001D4DCA">
        <w:rPr>
          <w:rFonts w:ascii="Mongolian Baiti" w:hAnsi="Mongolian Baiti"/>
          <w:color w:val="000000"/>
          <w:sz w:val="22"/>
          <w:szCs w:val="22"/>
        </w:rPr>
        <w:t>, or recoverable,</w:t>
      </w:r>
      <w:r w:rsidR="001923BE">
        <w:rPr>
          <w:rFonts w:ascii="Mongolian Baiti" w:hAnsi="Mongolian Baiti"/>
          <w:color w:val="000000"/>
          <w:sz w:val="22"/>
          <w:szCs w:val="22"/>
        </w:rPr>
        <w:t xml:space="preserve"> by Medicare</w:t>
      </w:r>
      <w:r w:rsidR="00AE7997">
        <w:rPr>
          <w:rFonts w:ascii="Mongolian Baiti" w:hAnsi="Mongolian Baiti"/>
          <w:color w:val="000000"/>
          <w:sz w:val="22"/>
          <w:szCs w:val="22"/>
        </w:rPr>
        <w:t>. T</w:t>
      </w:r>
      <w:r w:rsidR="001923BE">
        <w:rPr>
          <w:rFonts w:ascii="Mongolian Baiti" w:hAnsi="Mongolian Baiti"/>
          <w:color w:val="000000"/>
          <w:sz w:val="22"/>
          <w:szCs w:val="22"/>
        </w:rPr>
        <w:t>his is</w:t>
      </w:r>
      <w:r w:rsidR="00AE7997">
        <w:rPr>
          <w:rFonts w:ascii="Mongolian Baiti" w:hAnsi="Mongolian Baiti"/>
          <w:color w:val="000000"/>
          <w:sz w:val="22"/>
          <w:szCs w:val="22"/>
        </w:rPr>
        <w:t xml:space="preserve"> effectively</w:t>
      </w:r>
      <w:r w:rsidR="001923BE">
        <w:rPr>
          <w:rFonts w:ascii="Mongolian Baiti" w:hAnsi="Mongolian Baiti"/>
          <w:color w:val="000000"/>
          <w:sz w:val="22"/>
          <w:szCs w:val="22"/>
        </w:rPr>
        <w:t xml:space="preserve"> a “zero-allocation” as Workers’ Compensation practitioners know it.</w:t>
      </w:r>
    </w:p>
    <w:p w:rsidR="001D4DCA" w:rsidRDefault="001D4DCA" w:rsidP="003429F6">
      <w:pPr>
        <w:spacing w:line="360" w:lineRule="auto"/>
        <w:ind w:firstLine="720"/>
        <w:jc w:val="both"/>
        <w:rPr>
          <w:rFonts w:ascii="Mongolian Baiti" w:hAnsi="Mongolian Baiti"/>
          <w:color w:val="000000"/>
          <w:sz w:val="22"/>
          <w:szCs w:val="22"/>
        </w:rPr>
      </w:pPr>
    </w:p>
    <w:p w:rsidR="001D4DCA" w:rsidRDefault="001D4DCA" w:rsidP="003429F6">
      <w:pPr>
        <w:spacing w:line="360" w:lineRule="auto"/>
        <w:ind w:firstLine="720"/>
        <w:jc w:val="both"/>
        <w:rPr>
          <w:rFonts w:ascii="Mongolian Baiti" w:hAnsi="Mongolian Baiti"/>
          <w:color w:val="000000"/>
          <w:sz w:val="22"/>
          <w:szCs w:val="22"/>
        </w:rPr>
      </w:pPr>
      <w:r>
        <w:rPr>
          <w:rFonts w:ascii="Mongolian Baiti" w:hAnsi="Mongolian Baiti"/>
          <w:color w:val="000000"/>
          <w:sz w:val="22"/>
          <w:szCs w:val="22"/>
        </w:rPr>
        <w:t>Plaintiff attorneys who now face this burden long addressed by insurance defense attorneys in Workers’ Compensation matters put their clients</w:t>
      </w:r>
      <w:r w:rsidR="00841D10">
        <w:rPr>
          <w:rFonts w:ascii="Mongolian Baiti" w:hAnsi="Mongolian Baiti"/>
          <w:color w:val="000000"/>
          <w:sz w:val="22"/>
          <w:szCs w:val="22"/>
        </w:rPr>
        <w:t>’</w:t>
      </w:r>
      <w:r>
        <w:rPr>
          <w:rFonts w:ascii="Mongolian Baiti" w:hAnsi="Mongolian Baiti"/>
          <w:color w:val="000000"/>
          <w:sz w:val="22"/>
          <w:szCs w:val="22"/>
        </w:rPr>
        <w:t xml:space="preserve">, and even their firm’s own assets at risk by not taking the simple step of adding one “accounting procedure” step to the settlement process. Engaging a MSA specialist </w:t>
      </w:r>
      <w:proofErr w:type="gramStart"/>
      <w:r>
        <w:rPr>
          <w:rFonts w:ascii="Mongolian Baiti" w:hAnsi="Mongolian Baiti"/>
          <w:color w:val="000000"/>
          <w:sz w:val="22"/>
          <w:szCs w:val="22"/>
        </w:rPr>
        <w:t xml:space="preserve">to </w:t>
      </w:r>
      <w:r w:rsidR="00841D10">
        <w:rPr>
          <w:rFonts w:ascii="Mongolian Baiti" w:hAnsi="Mongolian Baiti"/>
          <w:color w:val="000000"/>
          <w:sz w:val="22"/>
          <w:szCs w:val="22"/>
        </w:rPr>
        <w:t>“reasonably” apportion</w:t>
      </w:r>
      <w:proofErr w:type="gramEnd"/>
      <w:r w:rsidR="00841D10">
        <w:rPr>
          <w:rFonts w:ascii="Mongolian Baiti" w:hAnsi="Mongolian Baiti"/>
          <w:color w:val="000000"/>
          <w:sz w:val="22"/>
          <w:szCs w:val="22"/>
        </w:rPr>
        <w:t xml:space="preserve"> settlement proceeds protects the entire settlement from adverse actions by CMS. While CMS may, consistent with its current practice, not seek reimbursement through action against plaintiff attorney fees, case expenses and costs</w:t>
      </w:r>
      <w:r w:rsidR="00BE79B0">
        <w:rPr>
          <w:rFonts w:ascii="Mongolian Baiti" w:hAnsi="Mongolian Baiti"/>
          <w:color w:val="000000"/>
          <w:sz w:val="22"/>
          <w:szCs w:val="22"/>
        </w:rPr>
        <w:t>, in addition to action against the client, clients are not likely to be pleased with the outcome.</w:t>
      </w:r>
    </w:p>
    <w:p w:rsidR="00BE79B0" w:rsidRDefault="00BE79B0" w:rsidP="003429F6">
      <w:pPr>
        <w:spacing w:line="360" w:lineRule="auto"/>
        <w:ind w:firstLine="720"/>
        <w:jc w:val="both"/>
        <w:rPr>
          <w:rFonts w:ascii="Mongolian Baiti" w:hAnsi="Mongolian Baiti"/>
          <w:color w:val="000000"/>
          <w:sz w:val="22"/>
          <w:szCs w:val="22"/>
        </w:rPr>
      </w:pPr>
    </w:p>
    <w:p w:rsidR="008C5ABD" w:rsidRDefault="008C5ABD" w:rsidP="003429F6">
      <w:pPr>
        <w:spacing w:line="360" w:lineRule="auto"/>
        <w:ind w:firstLine="720"/>
        <w:jc w:val="both"/>
        <w:rPr>
          <w:rFonts w:ascii="Mongolian Baiti" w:hAnsi="Mongolian Baiti"/>
          <w:color w:val="000000"/>
          <w:sz w:val="22"/>
          <w:szCs w:val="22"/>
        </w:rPr>
      </w:pPr>
      <w:r>
        <w:rPr>
          <w:rFonts w:ascii="Mongolian Baiti" w:hAnsi="Mongolian Baiti"/>
          <w:color w:val="000000"/>
          <w:sz w:val="22"/>
          <w:szCs w:val="22"/>
        </w:rPr>
        <w:t xml:space="preserve">As in all ventures, preparation is </w:t>
      </w:r>
      <w:proofErr w:type="gramStart"/>
      <w:r>
        <w:rPr>
          <w:rFonts w:ascii="Mongolian Baiti" w:hAnsi="Mongolian Baiti"/>
          <w:color w:val="000000"/>
          <w:sz w:val="22"/>
          <w:szCs w:val="22"/>
        </w:rPr>
        <w:t>key</w:t>
      </w:r>
      <w:proofErr w:type="gramEnd"/>
      <w:r>
        <w:rPr>
          <w:rFonts w:ascii="Mongolian Baiti" w:hAnsi="Mongolian Baiti"/>
          <w:color w:val="000000"/>
          <w:sz w:val="22"/>
          <w:szCs w:val="22"/>
        </w:rPr>
        <w:t xml:space="preserve"> to success.</w:t>
      </w:r>
    </w:p>
    <w:p w:rsidR="00A34A78" w:rsidRDefault="00A34A78" w:rsidP="003429F6">
      <w:pPr>
        <w:spacing w:line="360" w:lineRule="auto"/>
        <w:ind w:firstLine="720"/>
        <w:jc w:val="both"/>
        <w:rPr>
          <w:rFonts w:ascii="Mongolian Baiti" w:hAnsi="Mongolian Baiti"/>
          <w:color w:val="000000"/>
          <w:sz w:val="22"/>
          <w:szCs w:val="22"/>
        </w:rPr>
      </w:pPr>
    </w:p>
    <w:p w:rsidR="00A34A78" w:rsidRDefault="00A34A78" w:rsidP="003429F6">
      <w:pPr>
        <w:spacing w:line="360" w:lineRule="auto"/>
        <w:ind w:firstLine="720"/>
        <w:jc w:val="both"/>
        <w:rPr>
          <w:rFonts w:ascii="Mongolian Baiti" w:hAnsi="Mongolian Baiti"/>
          <w:color w:val="000000"/>
          <w:sz w:val="22"/>
          <w:szCs w:val="22"/>
        </w:rPr>
      </w:pPr>
      <w:r>
        <w:rPr>
          <w:rFonts w:ascii="Mongolian Baiti" w:hAnsi="Mongolian Baiti"/>
          <w:color w:val="000000"/>
          <w:sz w:val="22"/>
          <w:szCs w:val="22"/>
        </w:rPr>
        <w:t>Contact MarGin Consulting for assistance in remaining ahead of the curve in complying with CMS requirements and protecting your clients and your firm from future recoveries by CMS.</w:t>
      </w:r>
    </w:p>
    <w:p w:rsidR="003429F6" w:rsidRPr="005B10CD" w:rsidRDefault="003429F6" w:rsidP="003429F6">
      <w:pPr>
        <w:spacing w:line="360" w:lineRule="auto"/>
        <w:ind w:firstLine="720"/>
        <w:jc w:val="both"/>
        <w:rPr>
          <w:sz w:val="22"/>
          <w:szCs w:val="22"/>
        </w:rPr>
      </w:pPr>
      <w:bookmarkStart w:id="2" w:name="_GoBack"/>
      <w:bookmarkEnd w:id="2"/>
    </w:p>
    <w:sectPr w:rsidR="003429F6" w:rsidRPr="005B10CD" w:rsidSect="000467F0">
      <w:headerReference w:type="default" r:id="rId9"/>
      <w:pgSz w:w="12240" w:h="15840" w:code="1"/>
      <w:pgMar w:top="1800" w:right="1800" w:bottom="1800" w:left="180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03" w:rsidRDefault="008C4303" w:rsidP="003429F6">
      <w:r>
        <w:separator/>
      </w:r>
    </w:p>
  </w:endnote>
  <w:endnote w:type="continuationSeparator" w:id="0">
    <w:p w:rsidR="008C4303" w:rsidRDefault="008C4303" w:rsidP="0034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 w:name="Mongolian Bait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03" w:rsidRDefault="008C4303" w:rsidP="003429F6">
      <w:r>
        <w:separator/>
      </w:r>
    </w:p>
  </w:footnote>
  <w:footnote w:type="continuationSeparator" w:id="0">
    <w:p w:rsidR="008C4303" w:rsidRDefault="008C4303" w:rsidP="0034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F6" w:rsidRDefault="005C193D" w:rsidP="003A21FA">
    <w:pPr>
      <w:pStyle w:val="Header"/>
      <w:ind w:left="-2160"/>
    </w:pPr>
    <w:r>
      <w:rPr>
        <w:noProof/>
        <w:sz w:val="20"/>
        <w:szCs w:val="20"/>
      </w:rPr>
      <mc:AlternateContent>
        <mc:Choice Requires="wps">
          <w:drawing>
            <wp:anchor distT="0" distB="0" distL="114300" distR="114300" simplePos="0" relativeHeight="251659264" behindDoc="0" locked="0" layoutInCell="1" allowOverlap="1" wp14:anchorId="60B6E2BD" wp14:editId="632564EB">
              <wp:simplePos x="0" y="0"/>
              <wp:positionH relativeFrom="column">
                <wp:posOffset>4295775</wp:posOffset>
              </wp:positionH>
              <wp:positionV relativeFrom="paragraph">
                <wp:posOffset>292100</wp:posOffset>
              </wp:positionV>
              <wp:extent cx="2893060" cy="1285240"/>
              <wp:effectExtent l="0" t="0" r="0" b="0"/>
              <wp:wrapNone/>
              <wp:docPr id="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128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6F3" w:rsidRPr="005176F3" w:rsidRDefault="005176F3" w:rsidP="009D03A9">
                          <w:pPr>
                            <w:jc w:val="right"/>
                            <w:rPr>
                              <w:sz w:val="18"/>
                              <w:szCs w:val="18"/>
                            </w:rPr>
                          </w:pPr>
                          <w:r w:rsidRPr="005176F3">
                            <w:rPr>
                              <w:sz w:val="18"/>
                              <w:szCs w:val="18"/>
                            </w:rPr>
                            <w:t>MarGin Consulting, LLC</w:t>
                          </w:r>
                        </w:p>
                        <w:p w:rsidR="005176F3" w:rsidRPr="005176F3" w:rsidRDefault="005176F3" w:rsidP="009D03A9">
                          <w:pPr>
                            <w:jc w:val="right"/>
                            <w:rPr>
                              <w:sz w:val="18"/>
                              <w:szCs w:val="18"/>
                            </w:rPr>
                          </w:pPr>
                          <w:r w:rsidRPr="005176F3">
                            <w:rPr>
                              <w:sz w:val="18"/>
                              <w:szCs w:val="18"/>
                            </w:rPr>
                            <w:t>4030 Wake Forest Road</w:t>
                          </w:r>
                        </w:p>
                        <w:p w:rsidR="005176F3" w:rsidRPr="005176F3" w:rsidRDefault="005176F3" w:rsidP="009D03A9">
                          <w:pPr>
                            <w:jc w:val="right"/>
                            <w:rPr>
                              <w:sz w:val="18"/>
                              <w:szCs w:val="18"/>
                            </w:rPr>
                          </w:pPr>
                          <w:r w:rsidRPr="005176F3">
                            <w:rPr>
                              <w:sz w:val="18"/>
                              <w:szCs w:val="18"/>
                            </w:rPr>
                            <w:t>Suite 300</w:t>
                          </w:r>
                        </w:p>
                        <w:p w:rsidR="005176F3" w:rsidRPr="005176F3" w:rsidRDefault="005176F3" w:rsidP="009D03A9">
                          <w:pPr>
                            <w:jc w:val="right"/>
                            <w:rPr>
                              <w:sz w:val="18"/>
                              <w:szCs w:val="18"/>
                            </w:rPr>
                          </w:pPr>
                          <w:r w:rsidRPr="005176F3">
                            <w:rPr>
                              <w:sz w:val="18"/>
                              <w:szCs w:val="18"/>
                            </w:rPr>
                            <w:t>Raleigh, NC, 27609-6800</w:t>
                          </w:r>
                        </w:p>
                        <w:p w:rsidR="005176F3" w:rsidRPr="005176F3" w:rsidRDefault="008C4303" w:rsidP="009D03A9">
                          <w:pPr>
                            <w:jc w:val="right"/>
                            <w:rPr>
                              <w:sz w:val="18"/>
                              <w:szCs w:val="18"/>
                            </w:rPr>
                          </w:pPr>
                          <w:hyperlink r:id="rId1" w:history="1">
                            <w:r w:rsidR="005176F3" w:rsidRPr="005176F3">
                              <w:rPr>
                                <w:rStyle w:val="Hyperlink"/>
                                <w:sz w:val="18"/>
                                <w:szCs w:val="18"/>
                              </w:rPr>
                              <w:t>https://www.MarGin-Consulting.com</w:t>
                            </w:r>
                          </w:hyperlink>
                        </w:p>
                        <w:p w:rsidR="005176F3" w:rsidRPr="005176F3" w:rsidRDefault="005176F3" w:rsidP="009D03A9">
                          <w:pPr>
                            <w:jc w:val="right"/>
                            <w:rPr>
                              <w:sz w:val="18"/>
                              <w:szCs w:val="18"/>
                            </w:rPr>
                          </w:pPr>
                          <w:r w:rsidRPr="005176F3">
                            <w:rPr>
                              <w:sz w:val="18"/>
                              <w:szCs w:val="18"/>
                            </w:rPr>
                            <w:t>Tel:</w:t>
                          </w:r>
                          <w:r w:rsidRPr="005176F3">
                            <w:rPr>
                              <w:sz w:val="18"/>
                              <w:szCs w:val="18"/>
                            </w:rPr>
                            <w:tab/>
                            <w:t>(919) 719-7242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46" o:spid="_x0000_s1026" type="#_x0000_t202" style="position:absolute;left:0;text-align:left;margin-left:338.25pt;margin-top:23pt;width:227.8pt;height:101.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gNgwIAABI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" stroked="f">
              <v:textbox style="mso-fit-shape-to-text:t">
                <w:txbxContent>
                  <w:p w:rsidR="005176F3" w:rsidRPr="005176F3" w:rsidRDefault="005176F3" w:rsidP="009D03A9">
                    <w:pPr>
                      <w:jc w:val="right"/>
                      <w:rPr>
                        <w:sz w:val="18"/>
                        <w:szCs w:val="18"/>
                      </w:rPr>
                    </w:pPr>
                    <w:r w:rsidRPr="005176F3">
                      <w:rPr>
                        <w:sz w:val="18"/>
                        <w:szCs w:val="18"/>
                      </w:rPr>
                      <w:t>MarGin Consulting, LLC</w:t>
                    </w:r>
                  </w:p>
                  <w:p w:rsidR="005176F3" w:rsidRPr="005176F3" w:rsidRDefault="005176F3" w:rsidP="009D03A9">
                    <w:pPr>
                      <w:jc w:val="right"/>
                      <w:rPr>
                        <w:sz w:val="18"/>
                        <w:szCs w:val="18"/>
                      </w:rPr>
                    </w:pPr>
                    <w:r w:rsidRPr="005176F3">
                      <w:rPr>
                        <w:sz w:val="18"/>
                        <w:szCs w:val="18"/>
                      </w:rPr>
                      <w:t>4030 Wake Forest Road</w:t>
                    </w:r>
                  </w:p>
                  <w:p w:rsidR="005176F3" w:rsidRPr="005176F3" w:rsidRDefault="005176F3" w:rsidP="009D03A9">
                    <w:pPr>
                      <w:jc w:val="right"/>
                      <w:rPr>
                        <w:sz w:val="18"/>
                        <w:szCs w:val="18"/>
                      </w:rPr>
                    </w:pPr>
                    <w:r w:rsidRPr="005176F3">
                      <w:rPr>
                        <w:sz w:val="18"/>
                        <w:szCs w:val="18"/>
                      </w:rPr>
                      <w:t>Suite 300</w:t>
                    </w:r>
                  </w:p>
                  <w:p w:rsidR="005176F3" w:rsidRPr="005176F3" w:rsidRDefault="005176F3" w:rsidP="009D03A9">
                    <w:pPr>
                      <w:jc w:val="right"/>
                      <w:rPr>
                        <w:sz w:val="18"/>
                        <w:szCs w:val="18"/>
                      </w:rPr>
                    </w:pPr>
                    <w:r w:rsidRPr="005176F3">
                      <w:rPr>
                        <w:sz w:val="18"/>
                        <w:szCs w:val="18"/>
                      </w:rPr>
                      <w:t>Raleigh, NC, 27609-6800</w:t>
                    </w:r>
                  </w:p>
                  <w:p w:rsidR="005176F3" w:rsidRPr="005176F3" w:rsidRDefault="005176F3" w:rsidP="009D03A9">
                    <w:pPr>
                      <w:jc w:val="right"/>
                      <w:rPr>
                        <w:sz w:val="18"/>
                        <w:szCs w:val="18"/>
                      </w:rPr>
                    </w:pPr>
                    <w:hyperlink r:id="rId2" w:history="1">
                      <w:r w:rsidRPr="005176F3">
                        <w:rPr>
                          <w:rStyle w:val="Hyperlink"/>
                          <w:sz w:val="18"/>
                          <w:szCs w:val="18"/>
                        </w:rPr>
                        <w:t>https://www.MarGin-Consulting.com</w:t>
                      </w:r>
                    </w:hyperlink>
                  </w:p>
                  <w:p w:rsidR="005176F3" w:rsidRPr="005176F3" w:rsidRDefault="005176F3" w:rsidP="009D03A9">
                    <w:pPr>
                      <w:jc w:val="right"/>
                      <w:rPr>
                        <w:sz w:val="18"/>
                        <w:szCs w:val="18"/>
                      </w:rPr>
                    </w:pPr>
                    <w:r w:rsidRPr="005176F3">
                      <w:rPr>
                        <w:sz w:val="18"/>
                        <w:szCs w:val="18"/>
                      </w:rPr>
                      <w:t>Tel:</w:t>
                    </w:r>
                    <w:r w:rsidRPr="005176F3">
                      <w:rPr>
                        <w:sz w:val="18"/>
                        <w:szCs w:val="18"/>
                      </w:rPr>
                      <w:tab/>
                      <w:t>(919) 719-7242</w:t>
                    </w:r>
                  </w:p>
                </w:txbxContent>
              </v:textbox>
            </v:shape>
          </w:pict>
        </mc:Fallback>
      </mc:AlternateContent>
    </w:r>
    <w:r w:rsidR="005176F3">
      <w:rPr>
        <w:noProof/>
        <w:sz w:val="20"/>
        <w:szCs w:val="20"/>
      </w:rPr>
      <w:drawing>
        <wp:inline distT="0" distB="0" distL="0" distR="0" wp14:anchorId="2C9D79AB" wp14:editId="305156FC">
          <wp:extent cx="41910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in_logo copy.png"/>
                  <pic:cNvPicPr/>
                </pic:nvPicPr>
                <pic:blipFill>
                  <a:blip r:embed="rId3">
                    <a:extLst>
                      <a:ext uri="{28A0092B-C50C-407E-A947-70E740481C1C}">
                        <a14:useLocalDpi xmlns:a14="http://schemas.microsoft.com/office/drawing/2010/main" val="0"/>
                      </a:ext>
                    </a:extLst>
                  </a:blip>
                  <a:stretch>
                    <a:fillRect/>
                  </a:stretch>
                </pic:blipFill>
                <pic:spPr>
                  <a:xfrm>
                    <a:off x="0" y="0"/>
                    <a:ext cx="4199442" cy="139981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B8" w:rsidRDefault="00667AB8" w:rsidP="005C193D">
    <w:pPr>
      <w:pStyle w:val="Header"/>
      <w:ind w:left="-2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60"/>
    <w:rsid w:val="000467F0"/>
    <w:rsid w:val="0005367D"/>
    <w:rsid w:val="0009176D"/>
    <w:rsid w:val="000C2FA8"/>
    <w:rsid w:val="000D6F36"/>
    <w:rsid w:val="00150EAB"/>
    <w:rsid w:val="001923BE"/>
    <w:rsid w:val="001D4DCA"/>
    <w:rsid w:val="0026135D"/>
    <w:rsid w:val="00280A38"/>
    <w:rsid w:val="002A7AFE"/>
    <w:rsid w:val="002E7B70"/>
    <w:rsid w:val="002F36C3"/>
    <w:rsid w:val="00316E4F"/>
    <w:rsid w:val="003429F6"/>
    <w:rsid w:val="003A21FA"/>
    <w:rsid w:val="004139F5"/>
    <w:rsid w:val="00445169"/>
    <w:rsid w:val="005176F3"/>
    <w:rsid w:val="00540C70"/>
    <w:rsid w:val="00556ECF"/>
    <w:rsid w:val="00571F22"/>
    <w:rsid w:val="00596F11"/>
    <w:rsid w:val="005A2C0F"/>
    <w:rsid w:val="005B10CD"/>
    <w:rsid w:val="005C193D"/>
    <w:rsid w:val="005F5BD6"/>
    <w:rsid w:val="006100D5"/>
    <w:rsid w:val="00613A80"/>
    <w:rsid w:val="006608AC"/>
    <w:rsid w:val="00667AB8"/>
    <w:rsid w:val="00674CDA"/>
    <w:rsid w:val="006C4960"/>
    <w:rsid w:val="006F71D9"/>
    <w:rsid w:val="00700A45"/>
    <w:rsid w:val="00726032"/>
    <w:rsid w:val="00797621"/>
    <w:rsid w:val="007A6EDF"/>
    <w:rsid w:val="007F4CDB"/>
    <w:rsid w:val="008254D0"/>
    <w:rsid w:val="00841D10"/>
    <w:rsid w:val="00865B28"/>
    <w:rsid w:val="0088702C"/>
    <w:rsid w:val="008C4303"/>
    <w:rsid w:val="008C5ABD"/>
    <w:rsid w:val="00903E12"/>
    <w:rsid w:val="00921C7B"/>
    <w:rsid w:val="00922563"/>
    <w:rsid w:val="00993127"/>
    <w:rsid w:val="00A027C1"/>
    <w:rsid w:val="00A34A78"/>
    <w:rsid w:val="00A912CC"/>
    <w:rsid w:val="00A94967"/>
    <w:rsid w:val="00A977F6"/>
    <w:rsid w:val="00AE7997"/>
    <w:rsid w:val="00B11DB6"/>
    <w:rsid w:val="00B35379"/>
    <w:rsid w:val="00B45BFC"/>
    <w:rsid w:val="00B4735D"/>
    <w:rsid w:val="00B834E0"/>
    <w:rsid w:val="00BA75B7"/>
    <w:rsid w:val="00BB3630"/>
    <w:rsid w:val="00BB7E2C"/>
    <w:rsid w:val="00BE79B0"/>
    <w:rsid w:val="00C105BC"/>
    <w:rsid w:val="00C476C7"/>
    <w:rsid w:val="00C734FF"/>
    <w:rsid w:val="00C8597B"/>
    <w:rsid w:val="00CB7F48"/>
    <w:rsid w:val="00CF7C3F"/>
    <w:rsid w:val="00D208BC"/>
    <w:rsid w:val="00D42D36"/>
    <w:rsid w:val="00D7444E"/>
    <w:rsid w:val="00D76F40"/>
    <w:rsid w:val="00DD3A4D"/>
    <w:rsid w:val="00EA694A"/>
    <w:rsid w:val="00EC7DF7"/>
    <w:rsid w:val="00EE492A"/>
    <w:rsid w:val="00EF07AC"/>
    <w:rsid w:val="00F312A4"/>
    <w:rsid w:val="00F90344"/>
    <w:rsid w:val="00FA1E1E"/>
    <w:rsid w:val="00FA2AFF"/>
    <w:rsid w:val="00FD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6C49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4960"/>
    <w:rPr>
      <w:b/>
      <w:bCs/>
      <w:sz w:val="24"/>
      <w:szCs w:val="24"/>
    </w:rPr>
  </w:style>
  <w:style w:type="paragraph" w:customStyle="1" w:styleId="statutory-body-2em">
    <w:name w:val="statutory-body-2em"/>
    <w:basedOn w:val="Normal"/>
    <w:rsid w:val="006C4960"/>
    <w:pPr>
      <w:spacing w:before="100" w:beforeAutospacing="1" w:after="100" w:afterAutospacing="1"/>
    </w:pPr>
  </w:style>
  <w:style w:type="paragraph" w:customStyle="1" w:styleId="statutory-body-3em">
    <w:name w:val="statutory-body-3em"/>
    <w:basedOn w:val="Normal"/>
    <w:rsid w:val="006C4960"/>
    <w:pPr>
      <w:spacing w:before="100" w:beforeAutospacing="1" w:after="100" w:afterAutospacing="1"/>
    </w:pPr>
  </w:style>
  <w:style w:type="character" w:styleId="Hyperlink">
    <w:name w:val="Hyperlink"/>
    <w:basedOn w:val="DefaultParagraphFont"/>
    <w:uiPriority w:val="99"/>
    <w:unhideWhenUsed/>
    <w:rsid w:val="006C4960"/>
    <w:rPr>
      <w:color w:val="0000FF"/>
      <w:u w:val="single"/>
    </w:rPr>
  </w:style>
  <w:style w:type="paragraph" w:customStyle="1" w:styleId="Default">
    <w:name w:val="Default"/>
    <w:rsid w:val="006C4960"/>
    <w:pPr>
      <w:autoSpaceDE w:val="0"/>
      <w:autoSpaceDN w:val="0"/>
      <w:adjustRightInd w:val="0"/>
    </w:pPr>
    <w:rPr>
      <w:color w:val="000000"/>
      <w:sz w:val="24"/>
      <w:szCs w:val="24"/>
    </w:rPr>
  </w:style>
  <w:style w:type="paragraph" w:customStyle="1" w:styleId="TableParagraph">
    <w:name w:val="Table Paragraph"/>
    <w:basedOn w:val="Normal"/>
    <w:uiPriority w:val="1"/>
    <w:qFormat/>
    <w:rsid w:val="00C476C7"/>
    <w:pPr>
      <w:widowControl w:val="0"/>
    </w:pPr>
    <w:rPr>
      <w:rFonts w:asciiTheme="minorHAnsi" w:eastAsiaTheme="minorHAnsi" w:hAnsiTheme="minorHAnsi" w:cstheme="minorBidi"/>
      <w:sz w:val="22"/>
      <w:szCs w:val="22"/>
    </w:rPr>
  </w:style>
  <w:style w:type="paragraph" w:styleId="Header">
    <w:name w:val="header"/>
    <w:basedOn w:val="Normal"/>
    <w:link w:val="HeaderChar"/>
    <w:rsid w:val="003429F6"/>
    <w:pPr>
      <w:tabs>
        <w:tab w:val="center" w:pos="4680"/>
        <w:tab w:val="right" w:pos="9360"/>
      </w:tabs>
    </w:pPr>
  </w:style>
  <w:style w:type="character" w:customStyle="1" w:styleId="HeaderChar">
    <w:name w:val="Header Char"/>
    <w:basedOn w:val="DefaultParagraphFont"/>
    <w:link w:val="Header"/>
    <w:rsid w:val="003429F6"/>
    <w:rPr>
      <w:sz w:val="24"/>
      <w:szCs w:val="24"/>
    </w:rPr>
  </w:style>
  <w:style w:type="paragraph" w:styleId="Footer">
    <w:name w:val="footer"/>
    <w:basedOn w:val="Normal"/>
    <w:link w:val="FooterChar"/>
    <w:rsid w:val="003429F6"/>
    <w:pPr>
      <w:tabs>
        <w:tab w:val="center" w:pos="4680"/>
        <w:tab w:val="right" w:pos="9360"/>
      </w:tabs>
    </w:pPr>
  </w:style>
  <w:style w:type="character" w:customStyle="1" w:styleId="FooterChar">
    <w:name w:val="Footer Char"/>
    <w:basedOn w:val="DefaultParagraphFont"/>
    <w:link w:val="Footer"/>
    <w:rsid w:val="003429F6"/>
    <w:rPr>
      <w:sz w:val="24"/>
      <w:szCs w:val="24"/>
    </w:rPr>
  </w:style>
  <w:style w:type="paragraph" w:styleId="BalloonText">
    <w:name w:val="Balloon Text"/>
    <w:basedOn w:val="Normal"/>
    <w:link w:val="BalloonTextChar"/>
    <w:rsid w:val="005176F3"/>
    <w:rPr>
      <w:rFonts w:ascii="Tahoma" w:hAnsi="Tahoma" w:cs="Tahoma"/>
      <w:sz w:val="16"/>
      <w:szCs w:val="16"/>
    </w:rPr>
  </w:style>
  <w:style w:type="character" w:customStyle="1" w:styleId="BalloonTextChar">
    <w:name w:val="Balloon Text Char"/>
    <w:basedOn w:val="DefaultParagraphFont"/>
    <w:link w:val="BalloonText"/>
    <w:rsid w:val="00517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6C496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4960"/>
    <w:rPr>
      <w:b/>
      <w:bCs/>
      <w:sz w:val="24"/>
      <w:szCs w:val="24"/>
    </w:rPr>
  </w:style>
  <w:style w:type="paragraph" w:customStyle="1" w:styleId="statutory-body-2em">
    <w:name w:val="statutory-body-2em"/>
    <w:basedOn w:val="Normal"/>
    <w:rsid w:val="006C4960"/>
    <w:pPr>
      <w:spacing w:before="100" w:beforeAutospacing="1" w:after="100" w:afterAutospacing="1"/>
    </w:pPr>
  </w:style>
  <w:style w:type="paragraph" w:customStyle="1" w:styleId="statutory-body-3em">
    <w:name w:val="statutory-body-3em"/>
    <w:basedOn w:val="Normal"/>
    <w:rsid w:val="006C4960"/>
    <w:pPr>
      <w:spacing w:before="100" w:beforeAutospacing="1" w:after="100" w:afterAutospacing="1"/>
    </w:pPr>
  </w:style>
  <w:style w:type="character" w:styleId="Hyperlink">
    <w:name w:val="Hyperlink"/>
    <w:basedOn w:val="DefaultParagraphFont"/>
    <w:uiPriority w:val="99"/>
    <w:unhideWhenUsed/>
    <w:rsid w:val="006C4960"/>
    <w:rPr>
      <w:color w:val="0000FF"/>
      <w:u w:val="single"/>
    </w:rPr>
  </w:style>
  <w:style w:type="paragraph" w:customStyle="1" w:styleId="Default">
    <w:name w:val="Default"/>
    <w:rsid w:val="006C4960"/>
    <w:pPr>
      <w:autoSpaceDE w:val="0"/>
      <w:autoSpaceDN w:val="0"/>
      <w:adjustRightInd w:val="0"/>
    </w:pPr>
    <w:rPr>
      <w:color w:val="000000"/>
      <w:sz w:val="24"/>
      <w:szCs w:val="24"/>
    </w:rPr>
  </w:style>
  <w:style w:type="paragraph" w:customStyle="1" w:styleId="TableParagraph">
    <w:name w:val="Table Paragraph"/>
    <w:basedOn w:val="Normal"/>
    <w:uiPriority w:val="1"/>
    <w:qFormat/>
    <w:rsid w:val="00C476C7"/>
    <w:pPr>
      <w:widowControl w:val="0"/>
    </w:pPr>
    <w:rPr>
      <w:rFonts w:asciiTheme="minorHAnsi" w:eastAsiaTheme="minorHAnsi" w:hAnsiTheme="minorHAnsi" w:cstheme="minorBidi"/>
      <w:sz w:val="22"/>
      <w:szCs w:val="22"/>
    </w:rPr>
  </w:style>
  <w:style w:type="paragraph" w:styleId="Header">
    <w:name w:val="header"/>
    <w:basedOn w:val="Normal"/>
    <w:link w:val="HeaderChar"/>
    <w:rsid w:val="003429F6"/>
    <w:pPr>
      <w:tabs>
        <w:tab w:val="center" w:pos="4680"/>
        <w:tab w:val="right" w:pos="9360"/>
      </w:tabs>
    </w:pPr>
  </w:style>
  <w:style w:type="character" w:customStyle="1" w:styleId="HeaderChar">
    <w:name w:val="Header Char"/>
    <w:basedOn w:val="DefaultParagraphFont"/>
    <w:link w:val="Header"/>
    <w:rsid w:val="003429F6"/>
    <w:rPr>
      <w:sz w:val="24"/>
      <w:szCs w:val="24"/>
    </w:rPr>
  </w:style>
  <w:style w:type="paragraph" w:styleId="Footer">
    <w:name w:val="footer"/>
    <w:basedOn w:val="Normal"/>
    <w:link w:val="FooterChar"/>
    <w:rsid w:val="003429F6"/>
    <w:pPr>
      <w:tabs>
        <w:tab w:val="center" w:pos="4680"/>
        <w:tab w:val="right" w:pos="9360"/>
      </w:tabs>
    </w:pPr>
  </w:style>
  <w:style w:type="character" w:customStyle="1" w:styleId="FooterChar">
    <w:name w:val="Footer Char"/>
    <w:basedOn w:val="DefaultParagraphFont"/>
    <w:link w:val="Footer"/>
    <w:rsid w:val="003429F6"/>
    <w:rPr>
      <w:sz w:val="24"/>
      <w:szCs w:val="24"/>
    </w:rPr>
  </w:style>
  <w:style w:type="paragraph" w:styleId="BalloonText">
    <w:name w:val="Balloon Text"/>
    <w:basedOn w:val="Normal"/>
    <w:link w:val="BalloonTextChar"/>
    <w:rsid w:val="005176F3"/>
    <w:rPr>
      <w:rFonts w:ascii="Tahoma" w:hAnsi="Tahoma" w:cs="Tahoma"/>
      <w:sz w:val="16"/>
      <w:szCs w:val="16"/>
    </w:rPr>
  </w:style>
  <w:style w:type="character" w:customStyle="1" w:styleId="BalloonTextChar">
    <w:name w:val="Balloon Text Char"/>
    <w:basedOn w:val="DefaultParagraphFont"/>
    <w:link w:val="BalloonText"/>
    <w:rsid w:val="00517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74348">
      <w:bodyDiv w:val="1"/>
      <w:marLeft w:val="0"/>
      <w:marRight w:val="0"/>
      <w:marTop w:val="0"/>
      <w:marBottom w:val="0"/>
      <w:divBdr>
        <w:top w:val="none" w:sz="0" w:space="0" w:color="auto"/>
        <w:left w:val="none" w:sz="0" w:space="0" w:color="auto"/>
        <w:bottom w:val="none" w:sz="0" w:space="0" w:color="auto"/>
        <w:right w:val="none" w:sz="0" w:space="0" w:color="auto"/>
      </w:divBdr>
    </w:div>
    <w:div w:id="9234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MarGin-Consulting.com" TargetMode="External"/><Relationship Id="rId1" Type="http://schemas.openxmlformats.org/officeDocument/2006/relationships/hyperlink" Target="https://www.MarGin-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09F4-45FD-4430-99A1-0F7713E9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MarGin Consulting, LLC</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Ginsburg, RN</dc:creator>
  <cp:keywords/>
  <dc:description/>
  <cp:lastModifiedBy>Martin A. Ginsburg, RN</cp:lastModifiedBy>
  <cp:revision>2</cp:revision>
  <dcterms:created xsi:type="dcterms:W3CDTF">2017-11-15T18:02:00Z</dcterms:created>
  <dcterms:modified xsi:type="dcterms:W3CDTF">2017-11-15T18:02:00Z</dcterms:modified>
</cp:coreProperties>
</file>